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F166B2" w14:paraId="7EBB43F4" w14:textId="77777777" w:rsidTr="00AD33A8">
        <w:trPr>
          <w:trHeight w:val="282"/>
        </w:trPr>
        <w:tc>
          <w:tcPr>
            <w:tcW w:w="500" w:type="dxa"/>
            <w:vMerge w:val="restart"/>
            <w:tcBorders>
              <w:bottom w:val="nil"/>
            </w:tcBorders>
            <w:textDirection w:val="btLr"/>
          </w:tcPr>
          <w:p w14:paraId="7E1BAF54" w14:textId="77777777" w:rsidR="00041727" w:rsidRPr="00633FDB"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_tradnl" w:eastAsia="zh-CN"/>
              </w:rPr>
            </w:pPr>
            <w:r w:rsidRPr="00633FDB">
              <w:rPr>
                <w:color w:val="365F91" w:themeColor="accent1" w:themeShade="BF"/>
                <w:sz w:val="10"/>
                <w:szCs w:val="10"/>
                <w:lang w:val="es-ES_tradnl" w:eastAsia="zh-CN"/>
              </w:rPr>
              <w:t>TIEMPO</w:t>
            </w:r>
            <w:r w:rsidR="00041727" w:rsidRPr="00633FDB">
              <w:rPr>
                <w:color w:val="365F91" w:themeColor="accent1" w:themeShade="BF"/>
                <w:sz w:val="10"/>
                <w:szCs w:val="10"/>
                <w:lang w:val="es-ES_tradnl" w:eastAsia="zh-CN"/>
              </w:rPr>
              <w:t xml:space="preserve"> CLIMA </w:t>
            </w:r>
            <w:r w:rsidRPr="00633FDB">
              <w:rPr>
                <w:color w:val="365F91" w:themeColor="accent1" w:themeShade="BF"/>
                <w:sz w:val="10"/>
                <w:szCs w:val="10"/>
                <w:lang w:val="es-ES_tradnl" w:eastAsia="zh-CN"/>
              </w:rPr>
              <w:t>AGUA</w:t>
            </w:r>
          </w:p>
        </w:tc>
        <w:tc>
          <w:tcPr>
            <w:tcW w:w="6852" w:type="dxa"/>
            <w:vMerge w:val="restart"/>
          </w:tcPr>
          <w:p w14:paraId="07222261" w14:textId="77777777" w:rsidR="00041727" w:rsidRPr="00633FDB" w:rsidRDefault="00041727" w:rsidP="00993581">
            <w:pPr>
              <w:tabs>
                <w:tab w:val="left" w:pos="6946"/>
              </w:tabs>
              <w:suppressAutoHyphens/>
              <w:spacing w:after="120" w:line="252" w:lineRule="auto"/>
              <w:ind w:left="1134"/>
              <w:jc w:val="left"/>
              <w:rPr>
                <w:rStyle w:val="StyleComplex11ptBoldAccent1"/>
              </w:rPr>
            </w:pPr>
            <w:r w:rsidRPr="00633FDB">
              <w:rPr>
                <w:noProof/>
                <w:color w:val="365F91" w:themeColor="accent1" w:themeShade="BF"/>
                <w:szCs w:val="22"/>
                <w:lang w:val="es-ES_tradnl" w:eastAsia="zh-CN"/>
              </w:rPr>
              <w:drawing>
                <wp:anchor distT="0" distB="0" distL="114300" distR="114300" simplePos="0" relativeHeight="251664896" behindDoc="1" locked="1" layoutInCell="1" allowOverlap="1" wp14:anchorId="30EDC524" wp14:editId="2CB0B266">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633FDB">
              <w:rPr>
                <w:rStyle w:val="StyleComplex11ptBoldAccent1"/>
              </w:rPr>
              <w:t>Organización Meteorológica Mundial</w:t>
            </w:r>
          </w:p>
          <w:p w14:paraId="438D9644" w14:textId="77777777" w:rsidR="00041727" w:rsidRPr="00633FDB"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_tradnl"/>
              </w:rPr>
            </w:pPr>
            <w:r w:rsidRPr="00633FDB">
              <w:rPr>
                <w:rFonts w:cs="Tahoma"/>
                <w:b/>
                <w:color w:val="365F91" w:themeColor="accent1" w:themeShade="BF"/>
                <w:spacing w:val="-2"/>
                <w:szCs w:val="22"/>
                <w:lang w:val="es-ES_tradnl"/>
              </w:rPr>
              <w:t>CONSEJO EJECUTIVO</w:t>
            </w:r>
          </w:p>
          <w:p w14:paraId="29CA7CEE" w14:textId="77777777" w:rsidR="00041727" w:rsidRPr="00581CFE"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633FDB">
              <w:rPr>
                <w:rFonts w:cstheme="minorBidi"/>
                <w:b/>
                <w:snapToGrid w:val="0"/>
                <w:color w:val="365F91" w:themeColor="accent1" w:themeShade="BF"/>
                <w:szCs w:val="22"/>
                <w:lang w:val="es-ES_tradnl"/>
              </w:rPr>
              <w:t xml:space="preserve">Septuagésima </w:t>
            </w:r>
            <w:r w:rsidR="00581CFE">
              <w:rPr>
                <w:rFonts w:cstheme="minorBidi"/>
                <w:b/>
                <w:snapToGrid w:val="0"/>
                <w:color w:val="365F91" w:themeColor="accent1" w:themeShade="BF"/>
                <w:szCs w:val="22"/>
                <w:lang w:val="es-ES_tradnl"/>
              </w:rPr>
              <w:t>sexta</w:t>
            </w:r>
            <w:r w:rsidRPr="00633FDB">
              <w:rPr>
                <w:rFonts w:cstheme="minorBidi"/>
                <w:b/>
                <w:snapToGrid w:val="0"/>
                <w:color w:val="365F91" w:themeColor="accent1" w:themeShade="BF"/>
                <w:szCs w:val="22"/>
                <w:lang w:val="es-ES_tradnl"/>
              </w:rPr>
              <w:t xml:space="preserve"> reunión</w:t>
            </w:r>
            <w:r w:rsidR="00041727" w:rsidRPr="00633FDB">
              <w:rPr>
                <w:rFonts w:cstheme="minorBidi"/>
                <w:b/>
                <w:snapToGrid w:val="0"/>
                <w:color w:val="365F91" w:themeColor="accent1" w:themeShade="BF"/>
                <w:szCs w:val="22"/>
                <w:lang w:val="es-ES_tradnl"/>
              </w:rPr>
              <w:br/>
            </w:r>
            <w:r w:rsidR="00447D93">
              <w:rPr>
                <w:snapToGrid w:val="0"/>
                <w:color w:val="365F91" w:themeColor="accent1" w:themeShade="BF"/>
                <w:szCs w:val="22"/>
                <w:lang w:val="es-ES_tradnl"/>
              </w:rPr>
              <w:t xml:space="preserve">Ginebra, </w:t>
            </w:r>
            <w:r w:rsidR="00DA4CFF" w:rsidRPr="00633FDB">
              <w:rPr>
                <w:snapToGrid w:val="0"/>
                <w:color w:val="365F91" w:themeColor="accent1" w:themeShade="BF"/>
                <w:szCs w:val="22"/>
                <w:lang w:val="es-ES_tradnl"/>
              </w:rPr>
              <w:t>2</w:t>
            </w:r>
            <w:r w:rsidR="00581CFE">
              <w:rPr>
                <w:snapToGrid w:val="0"/>
                <w:color w:val="365F91" w:themeColor="accent1" w:themeShade="BF"/>
                <w:szCs w:val="22"/>
                <w:lang w:val="es-ES_tradnl"/>
              </w:rPr>
              <w:t>7 de febrero</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a</w:t>
            </w:r>
            <w:r w:rsidR="00A41E35" w:rsidRPr="00633FDB">
              <w:rPr>
                <w:snapToGrid w:val="0"/>
                <w:color w:val="365F91" w:themeColor="accent1" w:themeShade="BF"/>
                <w:szCs w:val="22"/>
                <w:lang w:val="es-ES_tradnl"/>
              </w:rPr>
              <w:t xml:space="preserve"> </w:t>
            </w:r>
            <w:r w:rsidR="00581CFE">
              <w:rPr>
                <w:snapToGrid w:val="0"/>
                <w:color w:val="365F91" w:themeColor="accent1" w:themeShade="BF"/>
                <w:szCs w:val="22"/>
                <w:lang w:val="es-ES_tradnl"/>
              </w:rPr>
              <w:t>3</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 xml:space="preserve">de </w:t>
            </w:r>
            <w:r w:rsidR="00581CFE">
              <w:rPr>
                <w:snapToGrid w:val="0"/>
                <w:color w:val="365F91" w:themeColor="accent1" w:themeShade="BF"/>
                <w:szCs w:val="22"/>
                <w:lang w:val="es-ES_tradnl"/>
              </w:rPr>
              <w:t xml:space="preserve">marzo </w:t>
            </w:r>
            <w:r w:rsidRPr="00633FDB">
              <w:rPr>
                <w:snapToGrid w:val="0"/>
                <w:color w:val="365F91" w:themeColor="accent1" w:themeShade="BF"/>
                <w:szCs w:val="22"/>
                <w:lang w:val="es-ES_tradnl"/>
              </w:rPr>
              <w:t>de</w:t>
            </w:r>
            <w:r w:rsidR="00A41E35" w:rsidRPr="00633FDB">
              <w:rPr>
                <w:snapToGrid w:val="0"/>
                <w:color w:val="365F91" w:themeColor="accent1" w:themeShade="BF"/>
                <w:szCs w:val="22"/>
                <w:lang w:val="es-ES_tradnl"/>
              </w:rPr>
              <w:t xml:space="preserve"> 202</w:t>
            </w:r>
            <w:r w:rsidR="00581CFE">
              <w:rPr>
                <w:snapToGrid w:val="0"/>
                <w:color w:val="365F91" w:themeColor="accent1" w:themeShade="BF"/>
                <w:szCs w:val="22"/>
                <w:lang w:val="es-ES_tradnl"/>
              </w:rPr>
              <w:t>3</w:t>
            </w:r>
          </w:p>
        </w:tc>
        <w:tc>
          <w:tcPr>
            <w:tcW w:w="2962" w:type="dxa"/>
          </w:tcPr>
          <w:p w14:paraId="58278236" w14:textId="21123C41" w:rsidR="00041727" w:rsidRPr="00F166B2" w:rsidRDefault="0024027B" w:rsidP="00F61675">
            <w:pPr>
              <w:tabs>
                <w:tab w:val="clear" w:pos="1134"/>
              </w:tabs>
              <w:spacing w:after="60"/>
              <w:ind w:right="-108"/>
              <w:jc w:val="right"/>
              <w:rPr>
                <w:rFonts w:cs="Tahoma"/>
                <w:b/>
                <w:bCs/>
                <w:color w:val="365F91" w:themeColor="accent1" w:themeShade="BF"/>
                <w:szCs w:val="22"/>
                <w:lang w:val="es-ES"/>
              </w:rPr>
            </w:pPr>
            <w:r w:rsidRPr="00633FDB">
              <w:rPr>
                <w:rFonts w:cs="Tahoma"/>
                <w:b/>
                <w:bCs/>
                <w:color w:val="365F91" w:themeColor="accent1" w:themeShade="BF"/>
                <w:szCs w:val="22"/>
                <w:lang w:val="es-ES_tradnl"/>
              </w:rPr>
              <w:t>EC-7</w:t>
            </w:r>
            <w:r w:rsidR="00581CFE">
              <w:rPr>
                <w:rFonts w:cs="Tahoma"/>
                <w:b/>
                <w:bCs/>
                <w:color w:val="365F91" w:themeColor="accent1" w:themeShade="BF"/>
                <w:szCs w:val="22"/>
                <w:lang w:val="es-ES_tradnl"/>
              </w:rPr>
              <w:t>6</w:t>
            </w:r>
            <w:r w:rsidR="00A41E35" w:rsidRPr="00633FDB">
              <w:rPr>
                <w:rFonts w:cs="Tahoma"/>
                <w:b/>
                <w:bCs/>
                <w:color w:val="365F91" w:themeColor="accent1" w:themeShade="BF"/>
                <w:szCs w:val="22"/>
                <w:lang w:val="es-ES_tradnl"/>
              </w:rPr>
              <w:t xml:space="preserve">/Doc. </w:t>
            </w:r>
            <w:r w:rsidR="00F166B2">
              <w:rPr>
                <w:b/>
                <w:color w:val="365F91"/>
                <w:lang w:val="es-ES_tradnl"/>
              </w:rPr>
              <w:t>9(2)</w:t>
            </w:r>
          </w:p>
        </w:tc>
      </w:tr>
      <w:tr w:rsidR="00041727" w:rsidRPr="00633FDB" w14:paraId="30A0F0D4" w14:textId="77777777" w:rsidTr="00AD33A8">
        <w:trPr>
          <w:trHeight w:val="730"/>
        </w:trPr>
        <w:tc>
          <w:tcPr>
            <w:tcW w:w="500" w:type="dxa"/>
            <w:vMerge/>
            <w:tcBorders>
              <w:bottom w:val="nil"/>
            </w:tcBorders>
          </w:tcPr>
          <w:p w14:paraId="712AEEE2"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6852" w:type="dxa"/>
            <w:vMerge/>
          </w:tcPr>
          <w:p w14:paraId="171B4F10"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2962" w:type="dxa"/>
          </w:tcPr>
          <w:p w14:paraId="0DB4CF24" w14:textId="1BCEE802" w:rsidR="00041727" w:rsidRPr="00633FDB" w:rsidRDefault="00527225" w:rsidP="00527225">
            <w:pPr>
              <w:pStyle w:val="StyleComplexTahomaComplex11ptAccent1RightAfter-"/>
            </w:pPr>
            <w:r w:rsidRPr="00633FDB">
              <w:t>Presentado por</w:t>
            </w:r>
            <w:r w:rsidR="00041727" w:rsidRPr="00633FDB">
              <w:t>:</w:t>
            </w:r>
            <w:r w:rsidR="00041727" w:rsidRPr="00633FDB">
              <w:br/>
            </w:r>
            <w:r w:rsidR="00F166B2">
              <w:rPr>
                <w:bCs/>
                <w:color w:val="365F91"/>
              </w:rPr>
              <w:t>presidente de la SERCOM y presidente de la INFCOM</w:t>
            </w:r>
          </w:p>
          <w:p w14:paraId="6C7B3FA3" w14:textId="386482F5" w:rsidR="00041727" w:rsidRPr="00633FDB" w:rsidRDefault="00F166B2" w:rsidP="00527225">
            <w:pPr>
              <w:pStyle w:val="StyleComplexTahomaComplex11ptAccent1RightAfter-"/>
            </w:pPr>
            <w:r>
              <w:rPr>
                <w:bCs/>
                <w:color w:val="365F91"/>
              </w:rPr>
              <w:t>1</w:t>
            </w:r>
            <w:r w:rsidR="00527225" w:rsidRPr="00633FDB">
              <w:t>.</w:t>
            </w:r>
            <w:r>
              <w:rPr>
                <w:bCs/>
                <w:color w:val="365F91"/>
              </w:rPr>
              <w:t>XII</w:t>
            </w:r>
            <w:r w:rsidR="00A41E35" w:rsidRPr="00633FDB">
              <w:t>.202</w:t>
            </w:r>
            <w:r w:rsidR="00581CFE">
              <w:t>2</w:t>
            </w:r>
          </w:p>
          <w:p w14:paraId="4F454CD2" w14:textId="77777777" w:rsidR="00041727" w:rsidRPr="00633FDB" w:rsidRDefault="00CF40BF" w:rsidP="002F6DAC">
            <w:pPr>
              <w:tabs>
                <w:tab w:val="clear" w:pos="1134"/>
              </w:tabs>
              <w:spacing w:before="120"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VERSIÓN 1</w:t>
            </w:r>
          </w:p>
        </w:tc>
      </w:tr>
    </w:tbl>
    <w:p w14:paraId="2943B502" w14:textId="07DAE691" w:rsidR="00C4470F" w:rsidRPr="00576A8A" w:rsidRDefault="001527A3" w:rsidP="00514EAC">
      <w:pPr>
        <w:pStyle w:val="WMOBodyText"/>
        <w:ind w:left="3969" w:hanging="3969"/>
        <w:rPr>
          <w:b/>
          <w:lang w:val="es-ES"/>
        </w:rPr>
      </w:pPr>
      <w:r w:rsidRPr="00633FDB">
        <w:rPr>
          <w:b/>
        </w:rPr>
        <w:t xml:space="preserve">PUNTO </w:t>
      </w:r>
      <w:r w:rsidR="00F166B2">
        <w:rPr>
          <w:b/>
        </w:rPr>
        <w:t>9</w:t>
      </w:r>
      <w:r w:rsidRPr="00633FDB">
        <w:rPr>
          <w:b/>
        </w:rPr>
        <w:t xml:space="preserve"> DEL ORDEN DEL DÍA:</w:t>
      </w:r>
      <w:r w:rsidR="00A41E35" w:rsidRPr="00633FDB">
        <w:rPr>
          <w:b/>
        </w:rPr>
        <w:tab/>
      </w:r>
      <w:r w:rsidR="00F166B2">
        <w:rPr>
          <w:b/>
        </w:rPr>
        <w:t>EXAMEN DE LAS RESOLUCIONES ANTERIORES</w:t>
      </w:r>
    </w:p>
    <w:p w14:paraId="6EC447EC" w14:textId="7058BE05" w:rsidR="00814CC6" w:rsidRPr="00633FDB" w:rsidRDefault="00F166B2" w:rsidP="00EC7CF5">
      <w:pPr>
        <w:pStyle w:val="Heading1"/>
        <w:spacing w:before="600" w:after="360"/>
        <w:rPr>
          <w:lang w:val="es-ES_tradnl"/>
        </w:rPr>
      </w:pPr>
      <w:bookmarkStart w:id="0" w:name="_APPENDIX_A:_"/>
      <w:bookmarkEnd w:id="0"/>
      <w:r>
        <w:rPr>
          <w:lang w:val="es-ES_tradnl"/>
        </w:rPr>
        <w:t>examen de las resoluciones y las recomendaciones dimanantes de las estructuras de las anteriores comisiones</w:t>
      </w:r>
      <w:r w:rsidR="00442960">
        <w:rPr>
          <w:lang w:val="es-ES_tradnl"/>
        </w:rPr>
        <w:t xml:space="preserve"> TÉCNICAS</w:t>
      </w:r>
      <w:r w:rsidR="007B49DE">
        <w:rPr>
          <w:lang w:val="es-ES_tradnl"/>
        </w:rPr>
        <w:t xml:space="preserve"> </w:t>
      </w:r>
    </w:p>
    <w:tbl>
      <w:tblPr>
        <w:tblStyle w:val="TableGrid"/>
        <w:tblW w:w="9526" w:type="dxa"/>
        <w:jc w:val="center"/>
        <w:tblLook w:val="04A0" w:firstRow="1" w:lastRow="0" w:firstColumn="1" w:lastColumn="0" w:noHBand="0" w:noVBand="1"/>
      </w:tblPr>
      <w:tblGrid>
        <w:gridCol w:w="9526"/>
      </w:tblGrid>
      <w:tr w:rsidR="00EC7CF5" w:rsidRPr="00921085" w14:paraId="76920E20" w14:textId="77777777" w:rsidTr="003C5AB0">
        <w:trPr>
          <w:jc w:val="center"/>
        </w:trPr>
        <w:tc>
          <w:tcPr>
            <w:tcW w:w="9526" w:type="dxa"/>
            <w:tcBorders>
              <w:bottom w:val="nil"/>
            </w:tcBorders>
          </w:tcPr>
          <w:p w14:paraId="7B080E2F" w14:textId="77777777" w:rsidR="00EC7CF5" w:rsidRDefault="00EC7CF5" w:rsidP="003C5AB0">
            <w:pPr>
              <w:pStyle w:val="WMOBodyText"/>
              <w:spacing w:after="240"/>
              <w:jc w:val="center"/>
              <w:rPr>
                <w:b/>
                <w:bCs/>
                <w:sz w:val="22"/>
                <w:szCs w:val="22"/>
              </w:rPr>
            </w:pPr>
            <w:r w:rsidRPr="00633FDB">
              <w:rPr>
                <w:b/>
                <w:bCs/>
                <w:sz w:val="22"/>
                <w:szCs w:val="22"/>
              </w:rPr>
              <w:t>RESUMEN</w:t>
            </w:r>
          </w:p>
          <w:p w14:paraId="7F151F2D" w14:textId="0FF328F3" w:rsidR="00581CFE" w:rsidRDefault="00581CFE" w:rsidP="00F166B2">
            <w:pPr>
              <w:pStyle w:val="WMOBodyText"/>
              <w:spacing w:before="160"/>
              <w:jc w:val="left"/>
              <w:rPr>
                <w:lang w:val="es-ES"/>
              </w:rPr>
            </w:pPr>
            <w:r>
              <w:rPr>
                <w:b/>
                <w:bCs/>
                <w:lang w:val="es-ES"/>
              </w:rPr>
              <w:t>Documento presentado por:</w:t>
            </w:r>
            <w:r>
              <w:rPr>
                <w:lang w:val="es-ES"/>
              </w:rPr>
              <w:t xml:space="preserve"> </w:t>
            </w:r>
            <w:r w:rsidR="00F166B2">
              <w:rPr>
                <w:lang w:val="es-ES"/>
              </w:rPr>
              <w:t>e</w:t>
            </w:r>
            <w:r w:rsidR="00F166B2" w:rsidRPr="002C2C7D">
              <w:rPr>
                <w:bCs/>
                <w:lang w:val="es-ES"/>
              </w:rPr>
              <w:t>l presidente de la</w:t>
            </w:r>
            <w:r w:rsidR="00F166B2">
              <w:rPr>
                <w:bCs/>
                <w:lang w:val="es-ES"/>
              </w:rPr>
              <w:t xml:space="preserve"> </w:t>
            </w:r>
            <w:r w:rsidR="003D68F1" w:rsidRPr="003D68F1">
              <w:rPr>
                <w:bCs/>
                <w:lang w:val="es-ES"/>
              </w:rPr>
              <w:t xml:space="preserve">Comisión de Aplicaciones y Servicios Meteorológicos, Climáticos, Hidrológicos y Medioambientales Conexos </w:t>
            </w:r>
            <w:r w:rsidR="003D68F1">
              <w:rPr>
                <w:bCs/>
                <w:lang w:val="es-ES"/>
              </w:rPr>
              <w:t>(</w:t>
            </w:r>
            <w:r w:rsidR="00F166B2">
              <w:rPr>
                <w:bCs/>
                <w:lang w:val="es-ES"/>
              </w:rPr>
              <w:t>SERCOM</w:t>
            </w:r>
            <w:r w:rsidR="003D68F1">
              <w:rPr>
                <w:bCs/>
                <w:lang w:val="es-ES"/>
              </w:rPr>
              <w:t>)</w:t>
            </w:r>
            <w:r w:rsidR="00F166B2">
              <w:rPr>
                <w:bCs/>
                <w:lang w:val="es-ES"/>
              </w:rPr>
              <w:t xml:space="preserve"> y el presidente de la</w:t>
            </w:r>
            <w:r w:rsidR="00F166B2" w:rsidRPr="002C2C7D">
              <w:rPr>
                <w:bCs/>
                <w:lang w:val="es-ES"/>
              </w:rPr>
              <w:t xml:space="preserve"> </w:t>
            </w:r>
            <w:r w:rsidR="003D68F1" w:rsidRPr="003D68F1">
              <w:rPr>
                <w:bCs/>
                <w:lang w:val="es-ES"/>
              </w:rPr>
              <w:t xml:space="preserve">Comisión de Observaciones, Infraestructura y Sistemas de Información </w:t>
            </w:r>
            <w:r w:rsidR="003D68F1">
              <w:rPr>
                <w:bCs/>
                <w:lang w:val="es-ES"/>
              </w:rPr>
              <w:t>(</w:t>
            </w:r>
            <w:r w:rsidR="00F166B2" w:rsidRPr="002C2C7D">
              <w:rPr>
                <w:bCs/>
                <w:lang w:val="es-ES"/>
              </w:rPr>
              <w:t>I</w:t>
            </w:r>
            <w:r w:rsidR="00F166B2">
              <w:rPr>
                <w:bCs/>
                <w:lang w:val="es-ES"/>
              </w:rPr>
              <w:t>NFCOM</w:t>
            </w:r>
            <w:r w:rsidR="003D68F1">
              <w:rPr>
                <w:bCs/>
                <w:lang w:val="es-ES"/>
              </w:rPr>
              <w:t>)</w:t>
            </w:r>
            <w:r w:rsidR="00F166B2">
              <w:rPr>
                <w:bCs/>
                <w:lang w:val="es-ES"/>
              </w:rPr>
              <w:t xml:space="preserve">, </w:t>
            </w:r>
            <w:r w:rsidR="003647DA" w:rsidRPr="003647DA">
              <w:rPr>
                <w:bCs/>
                <w:lang w:val="es-ES"/>
              </w:rPr>
              <w:t>de conformidad con</w:t>
            </w:r>
            <w:r w:rsidR="00F166B2" w:rsidRPr="003647DA">
              <w:rPr>
                <w:bCs/>
                <w:lang w:val="es-ES"/>
              </w:rPr>
              <w:t xml:space="preserve"> la </w:t>
            </w:r>
            <w:hyperlink r:id="rId12" w:history="1">
              <w:r w:rsidR="00F166B2" w:rsidRPr="003647DA">
                <w:rPr>
                  <w:rStyle w:val="Hyperlink"/>
                  <w:bCs/>
                  <w:lang w:val="es-ES"/>
                </w:rPr>
                <w:t>Recomendación 11.1/1 (SERCOM-2)</w:t>
              </w:r>
            </w:hyperlink>
            <w:r w:rsidR="00F166B2">
              <w:rPr>
                <w:bCs/>
                <w:lang w:val="es-ES"/>
              </w:rPr>
              <w:t xml:space="preserve"> y la </w:t>
            </w:r>
            <w:hyperlink r:id="rId13" w:history="1">
              <w:r w:rsidR="00F166B2" w:rsidRPr="003D68F1">
                <w:rPr>
                  <w:rStyle w:val="Hyperlink"/>
                  <w:bCs/>
                  <w:lang w:val="es-ES"/>
                </w:rPr>
                <w:t>Decisión 7.6/1 (INFCOM-2)</w:t>
              </w:r>
            </w:hyperlink>
            <w:r w:rsidR="003647DA">
              <w:rPr>
                <w:rStyle w:val="Hyperlink"/>
                <w:bCs/>
                <w:lang w:val="es-ES"/>
              </w:rPr>
              <w:t>,</w:t>
            </w:r>
            <w:r w:rsidR="00F166B2">
              <w:rPr>
                <w:bCs/>
                <w:lang w:val="es-ES"/>
              </w:rPr>
              <w:t xml:space="preserve"> </w:t>
            </w:r>
            <w:r w:rsidR="00F166B2" w:rsidRPr="003647DA">
              <w:rPr>
                <w:bCs/>
                <w:lang w:val="es-ES"/>
              </w:rPr>
              <w:t xml:space="preserve">en respuesta a la </w:t>
            </w:r>
            <w:hyperlink r:id="rId14" w:history="1">
              <w:r w:rsidR="00F166B2" w:rsidRPr="003647DA">
                <w:rPr>
                  <w:rStyle w:val="Hyperlink"/>
                  <w:bCs/>
                  <w:lang w:val="es-ES"/>
                </w:rPr>
                <w:t>Resolución 8 (EC-75)</w:t>
              </w:r>
            </w:hyperlink>
          </w:p>
          <w:p w14:paraId="6859F629" w14:textId="5A853A78" w:rsidR="00581CFE" w:rsidRPr="00B25263" w:rsidRDefault="00581CFE" w:rsidP="00F166B2">
            <w:pPr>
              <w:pStyle w:val="WMOBodyText"/>
              <w:spacing w:before="160"/>
              <w:jc w:val="left"/>
              <w:rPr>
                <w:lang w:val="es-ES"/>
              </w:rPr>
            </w:pPr>
            <w:r>
              <w:rPr>
                <w:b/>
                <w:bCs/>
                <w:lang w:val="es-ES"/>
              </w:rPr>
              <w:t xml:space="preserve">Objetivo estratégico para 2020-2023: </w:t>
            </w:r>
            <w:r w:rsidR="00B25263" w:rsidRPr="00B25263">
              <w:rPr>
                <w:lang w:val="es-ES"/>
              </w:rPr>
              <w:t>5.1</w:t>
            </w:r>
            <w:r w:rsidR="00B25263">
              <w:rPr>
                <w:b/>
                <w:bCs/>
                <w:lang w:val="es-ES"/>
              </w:rPr>
              <w:t xml:space="preserve"> </w:t>
            </w:r>
            <w:r w:rsidR="00B25263" w:rsidRPr="00FD5A64">
              <w:rPr>
                <w:lang w:val="es-ES"/>
              </w:rPr>
              <w:t>—</w:t>
            </w:r>
            <w:r w:rsidR="00B25263">
              <w:rPr>
                <w:lang w:val="es-ES"/>
              </w:rPr>
              <w:t xml:space="preserve"> </w:t>
            </w:r>
            <w:r w:rsidR="00B25263" w:rsidRPr="00B25263">
              <w:rPr>
                <w:lang w:val="es-ES"/>
              </w:rPr>
              <w:t xml:space="preserve">Optimización de la estructura de los órganos integrantes de la Organización Meteorológica Mundial </w:t>
            </w:r>
            <w:r w:rsidR="00B25263">
              <w:rPr>
                <w:lang w:val="es-ES"/>
              </w:rPr>
              <w:t xml:space="preserve">(OMM) </w:t>
            </w:r>
            <w:r w:rsidR="00B25263" w:rsidRPr="00B25263">
              <w:rPr>
                <w:lang w:val="es-ES"/>
              </w:rPr>
              <w:t>en favor de procesos de adopción de decisiones más eficaces</w:t>
            </w:r>
          </w:p>
          <w:p w14:paraId="5E4563A0" w14:textId="0CA3CB77" w:rsidR="00581CFE" w:rsidRDefault="00581CFE" w:rsidP="00F166B2">
            <w:pPr>
              <w:pStyle w:val="WMOBodyText"/>
              <w:spacing w:before="160"/>
              <w:jc w:val="left"/>
              <w:rPr>
                <w:lang w:val="es-ES"/>
              </w:rPr>
            </w:pPr>
            <w:r>
              <w:rPr>
                <w:b/>
                <w:bCs/>
                <w:lang w:val="es-ES"/>
              </w:rPr>
              <w:t>Consecuencias financieras y administrativas:</w:t>
            </w:r>
            <w:r>
              <w:rPr>
                <w:lang w:val="es-ES"/>
              </w:rPr>
              <w:t xml:space="preserve"> </w:t>
            </w:r>
            <w:r w:rsidR="00F166B2">
              <w:rPr>
                <w:lang w:val="es-ES"/>
              </w:rPr>
              <w:t xml:space="preserve">dentro de los parámetros del Plan Estratégico y </w:t>
            </w:r>
            <w:r w:rsidR="00B25263">
              <w:rPr>
                <w:lang w:val="es-ES"/>
              </w:rPr>
              <w:t>d</w:t>
            </w:r>
            <w:r w:rsidR="00F166B2">
              <w:rPr>
                <w:lang w:val="es-ES"/>
              </w:rPr>
              <w:t>el Plan de Funcionamiento de la OMM para 2020-2023</w:t>
            </w:r>
          </w:p>
          <w:p w14:paraId="0C9A66C4" w14:textId="44999EDD" w:rsidR="00F166B2" w:rsidRDefault="00581CFE" w:rsidP="00F166B2">
            <w:pPr>
              <w:pStyle w:val="WMOBodyText"/>
              <w:tabs>
                <w:tab w:val="left" w:pos="1709"/>
              </w:tabs>
              <w:spacing w:before="120" w:after="120"/>
              <w:jc w:val="left"/>
              <w:rPr>
                <w:lang w:val="es-ES"/>
              </w:rPr>
            </w:pPr>
            <w:r>
              <w:rPr>
                <w:b/>
                <w:bCs/>
                <w:lang w:val="es-ES"/>
              </w:rPr>
              <w:t>Principales encargados de la ejecución:</w:t>
            </w:r>
            <w:r>
              <w:rPr>
                <w:lang w:val="es-ES"/>
              </w:rPr>
              <w:t xml:space="preserve"> </w:t>
            </w:r>
            <w:r w:rsidR="00F166B2">
              <w:rPr>
                <w:lang w:val="es-ES"/>
              </w:rPr>
              <w:t>l</w:t>
            </w:r>
            <w:r w:rsidR="00F166B2" w:rsidRPr="002C2C7D">
              <w:rPr>
                <w:lang w:val="es-ES"/>
              </w:rPr>
              <w:t>a</w:t>
            </w:r>
            <w:r w:rsidR="00B25263">
              <w:rPr>
                <w:lang w:val="es-ES"/>
              </w:rPr>
              <w:t xml:space="preserve"> SERCOM y la</w:t>
            </w:r>
            <w:r w:rsidR="00F166B2" w:rsidRPr="002C2C7D">
              <w:rPr>
                <w:lang w:val="es-ES"/>
              </w:rPr>
              <w:t xml:space="preserve"> </w:t>
            </w:r>
            <w:r w:rsidR="00F166B2" w:rsidRPr="00B41620">
              <w:rPr>
                <w:lang w:val="es-ES"/>
              </w:rPr>
              <w:t>INFCOM</w:t>
            </w:r>
            <w:r w:rsidR="00B25263" w:rsidRPr="00B41620">
              <w:rPr>
                <w:lang w:val="es-ES"/>
              </w:rPr>
              <w:t>;</w:t>
            </w:r>
            <w:r w:rsidR="00F166B2" w:rsidRPr="00B41620">
              <w:rPr>
                <w:lang w:val="es-ES"/>
              </w:rPr>
              <w:t xml:space="preserve"> </w:t>
            </w:r>
            <w:r w:rsidR="00B25263" w:rsidRPr="00B41620">
              <w:rPr>
                <w:lang w:val="es-ES"/>
              </w:rPr>
              <w:t>el Congreso</w:t>
            </w:r>
            <w:r w:rsidR="00463AE5" w:rsidRPr="00B41620">
              <w:rPr>
                <w:lang w:val="es-ES"/>
              </w:rPr>
              <w:t xml:space="preserve"> Meteorológico Mundial</w:t>
            </w:r>
            <w:r w:rsidR="00B25263" w:rsidRPr="00B41620">
              <w:rPr>
                <w:lang w:val="es-ES"/>
              </w:rPr>
              <w:t xml:space="preserve"> y el Consejo Ejecutivo</w:t>
            </w:r>
          </w:p>
          <w:p w14:paraId="0D53366D" w14:textId="6A5F6AFC" w:rsidR="00581CFE" w:rsidRPr="00F166B2" w:rsidRDefault="00581CFE" w:rsidP="00F166B2">
            <w:pPr>
              <w:pStyle w:val="WMOBodyText"/>
              <w:spacing w:before="160"/>
              <w:jc w:val="left"/>
              <w:rPr>
                <w:lang w:val="es-ES"/>
              </w:rPr>
            </w:pPr>
            <w:r>
              <w:rPr>
                <w:b/>
                <w:bCs/>
                <w:lang w:val="es-ES"/>
              </w:rPr>
              <w:t>Cronograma:</w:t>
            </w:r>
            <w:r>
              <w:rPr>
                <w:lang w:val="es-ES"/>
              </w:rPr>
              <w:t xml:space="preserve"> </w:t>
            </w:r>
            <w:r w:rsidR="00B25263">
              <w:rPr>
                <w:lang w:val="es-ES"/>
              </w:rPr>
              <w:t>a partir de 2023</w:t>
            </w:r>
          </w:p>
          <w:p w14:paraId="4C5BBDED" w14:textId="4F74ABC4" w:rsidR="00581CFE" w:rsidRPr="00633FDB" w:rsidRDefault="00581CFE" w:rsidP="00F166B2">
            <w:pPr>
              <w:pStyle w:val="WMOBodyText"/>
              <w:spacing w:before="160"/>
              <w:jc w:val="left"/>
              <w:rPr>
                <w:b/>
                <w:bCs/>
                <w:sz w:val="22"/>
                <w:szCs w:val="22"/>
              </w:rPr>
            </w:pPr>
            <w:r>
              <w:rPr>
                <w:b/>
                <w:bCs/>
                <w:lang w:val="es-ES"/>
              </w:rPr>
              <w:t>Medida prevista:</w:t>
            </w:r>
            <w:r>
              <w:rPr>
                <w:lang w:val="es-ES"/>
              </w:rPr>
              <w:t xml:space="preserve"> </w:t>
            </w:r>
            <w:r w:rsidR="00B25263" w:rsidRPr="00463AE5">
              <w:rPr>
                <w:lang w:val="es-ES"/>
              </w:rPr>
              <w:t>aprobar el</w:t>
            </w:r>
            <w:r w:rsidR="00E42957" w:rsidRPr="00463AE5">
              <w:rPr>
                <w:lang w:val="es-ES"/>
              </w:rPr>
              <w:t xml:space="preserve"> </w:t>
            </w:r>
            <w:bookmarkStart w:id="1" w:name="AnexoRecomendación"/>
            <w:bookmarkStart w:id="2" w:name="Anexo_Recomendación"/>
            <w:r w:rsidR="000A7608" w:rsidRPr="00463AE5">
              <w:rPr>
                <w:lang w:val="es-ES"/>
              </w:rPr>
              <w:fldChar w:fldCharType="begin"/>
            </w:r>
            <w:r w:rsidR="000A7608" w:rsidRPr="00463AE5">
              <w:rPr>
                <w:lang w:val="es-ES"/>
              </w:rPr>
              <w:instrText xml:space="preserve"> HYPERLINK  \l "_Proyecto_de_Recomendación" </w:instrText>
            </w:r>
            <w:r w:rsidR="000A7608" w:rsidRPr="00463AE5">
              <w:rPr>
                <w:lang w:val="es-ES"/>
              </w:rPr>
              <w:fldChar w:fldCharType="separate"/>
            </w:r>
            <w:r w:rsidR="00E42957" w:rsidRPr="00463AE5">
              <w:rPr>
                <w:rStyle w:val="Hyperlink"/>
                <w:lang w:val="es-ES"/>
              </w:rPr>
              <w:t>proyecto de Recomendación 9(2)1 (EC-76)</w:t>
            </w:r>
            <w:bookmarkEnd w:id="1"/>
            <w:bookmarkEnd w:id="2"/>
            <w:r w:rsidR="000A7608" w:rsidRPr="00463AE5">
              <w:rPr>
                <w:lang w:val="es-ES"/>
              </w:rPr>
              <w:fldChar w:fldCharType="end"/>
            </w:r>
          </w:p>
        </w:tc>
      </w:tr>
      <w:tr w:rsidR="00581CFE" w:rsidRPr="00921085" w14:paraId="7512E4F6"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5C34EA71" w14:textId="77777777" w:rsidR="00581CFE" w:rsidRPr="00BC74EA" w:rsidRDefault="00581CFE" w:rsidP="003C5AB0">
            <w:pPr>
              <w:pStyle w:val="WMOBodyText"/>
              <w:spacing w:before="120" w:after="120"/>
              <w:jc w:val="left"/>
              <w:rPr>
                <w:lang w:val="es-ES"/>
              </w:rPr>
            </w:pPr>
          </w:p>
        </w:tc>
      </w:tr>
    </w:tbl>
    <w:p w14:paraId="70E6B17E" w14:textId="77777777" w:rsidR="00B01B02" w:rsidRPr="00633FDB" w:rsidRDefault="00B01B02" w:rsidP="00EC7CF5">
      <w:pPr>
        <w:pStyle w:val="WMOBodyText"/>
        <w:spacing w:before="0"/>
      </w:pPr>
    </w:p>
    <w:p w14:paraId="5D341FFD" w14:textId="77777777" w:rsidR="00B01B02" w:rsidRPr="007A7971" w:rsidRDefault="00B01B02">
      <w:pPr>
        <w:tabs>
          <w:tab w:val="clear" w:pos="1134"/>
        </w:tabs>
        <w:jc w:val="left"/>
        <w:rPr>
          <w:rFonts w:eastAsia="Verdana" w:cs="Verdana"/>
          <w:caps/>
          <w:kern w:val="32"/>
          <w:sz w:val="24"/>
          <w:szCs w:val="24"/>
          <w:lang w:val="es-ES_tradnl" w:eastAsia="zh-TW"/>
        </w:rPr>
      </w:pPr>
      <w:r w:rsidRPr="00633FDB">
        <w:rPr>
          <w:lang w:val="es-ES_tradnl"/>
        </w:rPr>
        <w:br w:type="page"/>
      </w:r>
    </w:p>
    <w:p w14:paraId="2E6033C0" w14:textId="76B5043C" w:rsidR="00581CFE" w:rsidRPr="00633FDB" w:rsidRDefault="00B41620" w:rsidP="00581CFE">
      <w:pPr>
        <w:tabs>
          <w:tab w:val="clear" w:pos="1134"/>
        </w:tabs>
        <w:jc w:val="center"/>
        <w:rPr>
          <w:b/>
          <w:bCs/>
          <w:sz w:val="22"/>
          <w:szCs w:val="22"/>
          <w:lang w:val="es-ES_tradnl"/>
        </w:rPr>
      </w:pPr>
      <w:r>
        <w:rPr>
          <w:b/>
          <w:bCs/>
          <w:sz w:val="22"/>
          <w:szCs w:val="22"/>
          <w:lang w:val="es-ES_tradnl"/>
        </w:rPr>
        <w:lastRenderedPageBreak/>
        <w:t>CONSIDERACIONCES GENERALES</w:t>
      </w:r>
    </w:p>
    <w:p w14:paraId="3BAE2072" w14:textId="7EF60674" w:rsidR="00581CFE" w:rsidRPr="00633FDB" w:rsidRDefault="00065495" w:rsidP="00581CFE">
      <w:pPr>
        <w:tabs>
          <w:tab w:val="clear" w:pos="1134"/>
        </w:tabs>
        <w:spacing w:before="360" w:after="240"/>
        <w:jc w:val="left"/>
        <w:rPr>
          <w:b/>
          <w:bCs/>
          <w:lang w:val="es-ES_tradnl"/>
        </w:rPr>
      </w:pPr>
      <w:r>
        <w:rPr>
          <w:b/>
          <w:bCs/>
          <w:lang w:val="es-ES_tradnl"/>
        </w:rPr>
        <w:t xml:space="preserve">Introducción: Examen de los informes de las anteriores comisiones técnicas por parte </w:t>
      </w:r>
      <w:r w:rsidRPr="00B41620">
        <w:rPr>
          <w:b/>
          <w:bCs/>
          <w:lang w:val="es-ES_tradnl"/>
        </w:rPr>
        <w:t>del Congreso</w:t>
      </w:r>
      <w:r w:rsidR="00B41620" w:rsidRPr="00B41620">
        <w:rPr>
          <w:b/>
          <w:bCs/>
          <w:lang w:val="es-ES_tradnl"/>
        </w:rPr>
        <w:t xml:space="preserve"> Meteorológico</w:t>
      </w:r>
      <w:r w:rsidR="00B41620">
        <w:rPr>
          <w:b/>
          <w:bCs/>
          <w:lang w:val="es-ES_tradnl"/>
        </w:rPr>
        <w:t xml:space="preserve"> Mundial</w:t>
      </w:r>
      <w:r>
        <w:rPr>
          <w:b/>
          <w:bCs/>
          <w:lang w:val="es-ES_tradnl"/>
        </w:rPr>
        <w:t xml:space="preserve"> o </w:t>
      </w:r>
      <w:r w:rsidR="00156266">
        <w:rPr>
          <w:b/>
          <w:bCs/>
          <w:lang w:val="es-ES_tradnl"/>
        </w:rPr>
        <w:t>d</w:t>
      </w:r>
      <w:r>
        <w:rPr>
          <w:b/>
          <w:bCs/>
          <w:lang w:val="es-ES_tradnl"/>
        </w:rPr>
        <w:t>el Consejo Ejecutivo</w:t>
      </w:r>
    </w:p>
    <w:p w14:paraId="221F8B22" w14:textId="28EC15DD" w:rsidR="00581CFE" w:rsidRPr="00065495" w:rsidRDefault="00581CFE" w:rsidP="00581CFE">
      <w:pPr>
        <w:tabs>
          <w:tab w:val="clear" w:pos="1134"/>
        </w:tabs>
        <w:jc w:val="left"/>
        <w:rPr>
          <w:bCs/>
          <w:lang w:val="es-ES"/>
        </w:rPr>
      </w:pPr>
      <w:r w:rsidRPr="00633FDB">
        <w:rPr>
          <w:lang w:val="es-ES_tradnl"/>
        </w:rPr>
        <w:t>1.</w:t>
      </w:r>
      <w:r w:rsidRPr="00633FDB">
        <w:rPr>
          <w:lang w:val="es-ES_tradnl"/>
        </w:rPr>
        <w:tab/>
      </w:r>
      <w:r w:rsidR="00065495" w:rsidRPr="00065495">
        <w:rPr>
          <w:bCs/>
          <w:lang w:val="es-ES"/>
        </w:rPr>
        <w:t xml:space="preserve">El Decimoctavo Congreso Meteorológico Mundial </w:t>
      </w:r>
      <w:r w:rsidR="00065495" w:rsidRPr="00334019">
        <w:rPr>
          <w:bCs/>
          <w:lang w:val="es-ES"/>
        </w:rPr>
        <w:t>(2019),</w:t>
      </w:r>
      <w:r w:rsidR="00065495" w:rsidRPr="00065495">
        <w:rPr>
          <w:bCs/>
          <w:lang w:val="es-ES"/>
        </w:rPr>
        <w:t xml:space="preserve"> que estableció la Comisión de Aplicaciones y Servicios Meteorológicos, Climáticos, Hidrológicos y Medioambientales Conexos (SERCOM) y la Comisión de Observaciones, Infraestructura y Sistemas de Información (INFCOM) mediante la </w:t>
      </w:r>
      <w:r w:rsidR="007B49DE">
        <w:fldChar w:fldCharType="begin"/>
      </w:r>
      <w:r w:rsidR="007B49DE" w:rsidRPr="007B49DE">
        <w:rPr>
          <w:lang w:val="es-ES_tradnl"/>
        </w:rPr>
        <w:instrText xml:space="preserve"> HYPERLINK "https://librar</w:instrText>
      </w:r>
      <w:r w:rsidR="007B49DE" w:rsidRPr="007B49DE">
        <w:rPr>
          <w:lang w:val="es-ES_tradnl"/>
        </w:rPr>
        <w:instrText xml:space="preserve">y.wmo.int/doc_num.php?explnum_id=9847/" \l "page=45" </w:instrText>
      </w:r>
      <w:r w:rsidR="007B49DE">
        <w:fldChar w:fldCharType="separate"/>
      </w:r>
      <w:r w:rsidR="00065495" w:rsidRPr="007C4BE3">
        <w:rPr>
          <w:rStyle w:val="Hyperlink"/>
          <w:bCs/>
          <w:lang w:val="es-ES"/>
        </w:rPr>
        <w:t>Resolución 7 (Cg-18)</w:t>
      </w:r>
      <w:r w:rsidR="007B49DE">
        <w:rPr>
          <w:rStyle w:val="Hyperlink"/>
          <w:bCs/>
          <w:lang w:val="es-ES"/>
        </w:rPr>
        <w:fldChar w:fldCharType="end"/>
      </w:r>
      <w:r w:rsidR="00065495" w:rsidRPr="00065495">
        <w:rPr>
          <w:bCs/>
          <w:lang w:val="es-ES"/>
        </w:rPr>
        <w:t xml:space="preserve"> — Establecimiento de las comisiones técnicas de la Organización Meteorológica Mundial para el decimoctavo período financiero, también tomó nota de los informes de la decimosexta reunión de la Comisión de Meteorología Aeronáutica (</w:t>
      </w:r>
      <w:proofErr w:type="spellStart"/>
      <w:r w:rsidR="00065495" w:rsidRPr="00065495">
        <w:rPr>
          <w:bCs/>
          <w:lang w:val="es-ES"/>
        </w:rPr>
        <w:t>CMAe</w:t>
      </w:r>
      <w:proofErr w:type="spellEnd"/>
      <w:r w:rsidR="00065495" w:rsidRPr="00065495">
        <w:rPr>
          <w:bCs/>
          <w:lang w:val="es-ES"/>
        </w:rPr>
        <w:t>) (</w:t>
      </w:r>
      <w:r w:rsidR="007B49DE">
        <w:fldChar w:fldCharType="begin"/>
      </w:r>
      <w:r w:rsidR="007B49DE" w:rsidRPr="007B49DE">
        <w:rPr>
          <w:lang w:val="es-ES_tradnl"/>
        </w:rPr>
        <w:instrText xml:space="preserve"> HYPERLINK "https://library.wmo.int/doc_num.php?explnum_id=9847/" \l "page=122" </w:instrText>
      </w:r>
      <w:r w:rsidR="007B49DE">
        <w:fldChar w:fldCharType="separate"/>
      </w:r>
      <w:r w:rsidR="00065495" w:rsidRPr="007C4BE3">
        <w:rPr>
          <w:rStyle w:val="Hyperlink"/>
          <w:bCs/>
          <w:lang w:val="es-ES"/>
        </w:rPr>
        <w:t>Resolución 27 (Cg-18</w:t>
      </w:r>
      <w:r w:rsidR="007B49DE">
        <w:rPr>
          <w:rStyle w:val="Hyperlink"/>
          <w:bCs/>
          <w:lang w:val="es-ES"/>
        </w:rPr>
        <w:fldChar w:fldCharType="end"/>
      </w:r>
      <w:r w:rsidR="00065495" w:rsidRPr="00065495">
        <w:rPr>
          <w:bCs/>
          <w:lang w:val="es-ES"/>
        </w:rPr>
        <w:t xml:space="preserve">) — Informe de la decimosexta reunión de la Comisión de Meteorología Aeronáutica), la decimoséptima reunión de la Comisión de Meteorología </w:t>
      </w:r>
      <w:r w:rsidR="00065495" w:rsidRPr="00B41620">
        <w:rPr>
          <w:bCs/>
          <w:lang w:val="es-ES"/>
        </w:rPr>
        <w:t>Agrícola (</w:t>
      </w:r>
      <w:proofErr w:type="spellStart"/>
      <w:r w:rsidR="00065495" w:rsidRPr="00B41620">
        <w:rPr>
          <w:bCs/>
          <w:lang w:val="es-ES"/>
        </w:rPr>
        <w:t>CMAg</w:t>
      </w:r>
      <w:proofErr w:type="spellEnd"/>
      <w:r w:rsidR="00065495" w:rsidRPr="00B41620">
        <w:rPr>
          <w:bCs/>
          <w:lang w:val="es-ES"/>
        </w:rPr>
        <w:t>) (</w:t>
      </w:r>
      <w:r w:rsidR="007B49DE">
        <w:fldChar w:fldCharType="begin"/>
      </w:r>
      <w:r w:rsidR="007B49DE" w:rsidRPr="007B49DE">
        <w:rPr>
          <w:lang w:val="es-ES_tradnl"/>
        </w:rPr>
        <w:instrText xml:space="preserve"> HYPERLINK "https://library.wmo.int/doc_num.php?explnum_id=9847/" \l "page=99" </w:instrText>
      </w:r>
      <w:r w:rsidR="007B49DE">
        <w:fldChar w:fldCharType="separate"/>
      </w:r>
      <w:r w:rsidR="00065495" w:rsidRPr="00B41620">
        <w:rPr>
          <w:rStyle w:val="Hyperlink"/>
          <w:bCs/>
          <w:lang w:val="es-ES"/>
        </w:rPr>
        <w:t>Resolución 18 (Cg-18)</w:t>
      </w:r>
      <w:r w:rsidR="007B49DE">
        <w:rPr>
          <w:rStyle w:val="Hyperlink"/>
          <w:bCs/>
          <w:lang w:val="es-ES"/>
        </w:rPr>
        <w:fldChar w:fldCharType="end"/>
      </w:r>
      <w:r w:rsidR="00065495" w:rsidRPr="00B41620">
        <w:rPr>
          <w:bCs/>
          <w:lang w:val="es-ES"/>
        </w:rPr>
        <w:t xml:space="preserve"> — Contribuciones de la Organización Meteorológica Mundial al suministro de información y la prestación de servicios de meteorología agrícola), la decimoséptima reunión de la Comisión de Climatología (</w:t>
      </w:r>
      <w:proofErr w:type="spellStart"/>
      <w:r w:rsidR="00065495" w:rsidRPr="00B41620">
        <w:rPr>
          <w:bCs/>
          <w:lang w:val="es-ES"/>
        </w:rPr>
        <w:t>CCl</w:t>
      </w:r>
      <w:proofErr w:type="spellEnd"/>
      <w:r w:rsidR="00065495" w:rsidRPr="00B41620">
        <w:rPr>
          <w:bCs/>
          <w:lang w:val="es-ES"/>
        </w:rPr>
        <w:t>) (</w:t>
      </w:r>
      <w:r w:rsidR="007B49DE">
        <w:fldChar w:fldCharType="begin"/>
      </w:r>
      <w:r w:rsidR="007B49DE" w:rsidRPr="007B49DE">
        <w:rPr>
          <w:lang w:val="es-ES_tradnl"/>
        </w:rPr>
        <w:instrText xml:space="preserve"> HYPERLINK "https://library.wmo.int/doc_num.php?explnum_id=9847/" \l "page=102" </w:instrText>
      </w:r>
      <w:r w:rsidR="007B49DE">
        <w:fldChar w:fldCharType="separate"/>
      </w:r>
      <w:r w:rsidR="00065495" w:rsidRPr="00B41620">
        <w:rPr>
          <w:rStyle w:val="Hyperlink"/>
          <w:bCs/>
          <w:lang w:val="es-ES"/>
        </w:rPr>
        <w:t>Resolución 20 (Cg-18)</w:t>
      </w:r>
      <w:r w:rsidR="007B49DE">
        <w:rPr>
          <w:rStyle w:val="Hyperlink"/>
          <w:bCs/>
          <w:lang w:val="es-ES"/>
        </w:rPr>
        <w:fldChar w:fldCharType="end"/>
      </w:r>
      <w:r w:rsidR="00065495" w:rsidRPr="00B41620">
        <w:rPr>
          <w:bCs/>
          <w:lang w:val="es-ES"/>
        </w:rPr>
        <w:t xml:space="preserve"> — Contribuciones de la Organización Meteorológica Mundial al suministro de información y la prestación de servicios climáticos en apoyo a la formulación de políticas y la adopción de decisiones), la reunión extraordinaria de la Comisión de Hidrología (</w:t>
      </w:r>
      <w:proofErr w:type="spellStart"/>
      <w:r w:rsidR="00065495" w:rsidRPr="00B41620">
        <w:rPr>
          <w:bCs/>
          <w:lang w:val="es-ES"/>
        </w:rPr>
        <w:t>CHi</w:t>
      </w:r>
      <w:proofErr w:type="spellEnd"/>
      <w:r w:rsidR="00065495" w:rsidRPr="00B41620">
        <w:rPr>
          <w:bCs/>
          <w:lang w:val="es-ES"/>
        </w:rPr>
        <w:t>) (</w:t>
      </w:r>
      <w:r w:rsidR="007B49DE">
        <w:fldChar w:fldCharType="begin"/>
      </w:r>
      <w:r w:rsidR="007B49DE" w:rsidRPr="007B49DE">
        <w:rPr>
          <w:lang w:val="es-ES_tradnl"/>
        </w:rPr>
        <w:instrText xml:space="preserve"> HYPERLINK "https://library.wmo.in</w:instrText>
      </w:r>
      <w:r w:rsidR="007B49DE" w:rsidRPr="007B49DE">
        <w:rPr>
          <w:lang w:val="es-ES_tradnl"/>
        </w:rPr>
        <w:instrText xml:space="preserve">t/doc_num.php?explnum_id=9847/" \l "page=111" </w:instrText>
      </w:r>
      <w:r w:rsidR="007B49DE">
        <w:fldChar w:fldCharType="separate"/>
      </w:r>
      <w:r w:rsidR="00065495" w:rsidRPr="00B41620">
        <w:rPr>
          <w:rStyle w:val="Hyperlink"/>
          <w:bCs/>
          <w:lang w:val="es-ES"/>
        </w:rPr>
        <w:t>Resolución 24 (Cg-18)</w:t>
      </w:r>
      <w:r w:rsidR="007B49DE">
        <w:rPr>
          <w:rStyle w:val="Hyperlink"/>
          <w:bCs/>
          <w:lang w:val="es-ES"/>
        </w:rPr>
        <w:fldChar w:fldCharType="end"/>
      </w:r>
      <w:r w:rsidR="00065495" w:rsidRPr="00B41620">
        <w:rPr>
          <w:bCs/>
          <w:lang w:val="es-ES"/>
        </w:rPr>
        <w:t xml:space="preserve"> — Visión, estrategia y arreglos organizativos relativos a la hidrología y los recursos hídricos en la Organización Meteorológica Mundial) y la decimoséptima reunión de la Comisión de Instrumentos y Métodos de Observación (CIMO) (</w:t>
      </w:r>
      <w:r w:rsidR="007B49DE">
        <w:fldChar w:fldCharType="begin"/>
      </w:r>
      <w:r w:rsidR="007B49DE" w:rsidRPr="007B49DE">
        <w:rPr>
          <w:lang w:val="es-ES_tradnl"/>
        </w:rPr>
        <w:instrText xml:space="preserve"> HYPERLINK "https://library.wmo.int/doc_num.php?explnum_id=9847/" \l "page=171" </w:instrText>
      </w:r>
      <w:r w:rsidR="007B49DE">
        <w:fldChar w:fldCharType="separate"/>
      </w:r>
      <w:r w:rsidR="00065495" w:rsidRPr="00B41620">
        <w:rPr>
          <w:rStyle w:val="Hyperlink"/>
          <w:bCs/>
          <w:lang w:val="es-ES"/>
        </w:rPr>
        <w:t>Resolución 43 (Cg-18)</w:t>
      </w:r>
      <w:r w:rsidR="007B49DE">
        <w:rPr>
          <w:rStyle w:val="Hyperlink"/>
          <w:bCs/>
          <w:lang w:val="es-ES"/>
        </w:rPr>
        <w:fldChar w:fldCharType="end"/>
      </w:r>
      <w:r w:rsidR="00065495" w:rsidRPr="00B41620">
        <w:rPr>
          <w:bCs/>
          <w:lang w:val="es-ES"/>
        </w:rPr>
        <w:t xml:space="preserve"> — Informe de la decimoséptima reunión de la Comisión de Instrumentos y Métodos de Observación), incluidas las resoluciones aprobadas en esas reuniones y las resoluciones anteriores cuya vigencia se había confirmado. Las recomendaciones de la decimoséptima reunión de la </w:t>
      </w:r>
      <w:bookmarkStart w:id="3" w:name="_Hlk124257829"/>
      <w:r w:rsidR="00065495" w:rsidRPr="00B41620">
        <w:rPr>
          <w:bCs/>
          <w:lang w:val="es-ES"/>
        </w:rPr>
        <w:t>Comisión</w:t>
      </w:r>
      <w:r w:rsidR="00065495" w:rsidRPr="00065495">
        <w:rPr>
          <w:bCs/>
          <w:lang w:val="es-ES"/>
        </w:rPr>
        <w:t xml:space="preserve"> de Ciencias Atmosféricas (CCA) </w:t>
      </w:r>
      <w:bookmarkEnd w:id="3"/>
      <w:r w:rsidR="00065495" w:rsidRPr="00065495">
        <w:rPr>
          <w:bCs/>
          <w:lang w:val="es-ES"/>
        </w:rPr>
        <w:t>se examinaron en el marco de resoluciones individuales</w:t>
      </w:r>
      <w:r w:rsidR="00845D0B">
        <w:rPr>
          <w:bCs/>
          <w:lang w:val="es-ES"/>
        </w:rPr>
        <w:t>.</w:t>
      </w:r>
    </w:p>
    <w:p w14:paraId="2F296966" w14:textId="2130F505" w:rsidR="00581CFE" w:rsidRPr="00065495" w:rsidRDefault="00581CFE" w:rsidP="00581CFE">
      <w:pPr>
        <w:tabs>
          <w:tab w:val="clear" w:pos="1134"/>
        </w:tabs>
        <w:spacing w:before="240" w:after="240"/>
        <w:jc w:val="left"/>
        <w:rPr>
          <w:bCs/>
          <w:lang w:val="es-ES"/>
        </w:rPr>
      </w:pPr>
      <w:r w:rsidRPr="00633FDB">
        <w:rPr>
          <w:bCs/>
          <w:lang w:val="es-ES_tradnl"/>
        </w:rPr>
        <w:t>2.</w:t>
      </w:r>
      <w:r w:rsidRPr="00633FDB">
        <w:rPr>
          <w:bCs/>
          <w:lang w:val="es-ES_tradnl"/>
        </w:rPr>
        <w:tab/>
      </w:r>
      <w:r w:rsidR="00065495" w:rsidRPr="00065495">
        <w:rPr>
          <w:bCs/>
          <w:lang w:val="es-ES"/>
        </w:rPr>
        <w:t>Anteriormente, la 70ª</w:t>
      </w:r>
      <w:r w:rsidR="00167009">
        <w:rPr>
          <w:bCs/>
          <w:lang w:val="es-ES"/>
        </w:rPr>
        <w:t> </w:t>
      </w:r>
      <w:r w:rsidR="00065495" w:rsidRPr="00065495">
        <w:rPr>
          <w:bCs/>
          <w:lang w:val="es-ES"/>
        </w:rPr>
        <w:t xml:space="preserve">reunión del Consejo </w:t>
      </w:r>
      <w:r w:rsidR="00065495" w:rsidRPr="00334019">
        <w:rPr>
          <w:bCs/>
          <w:lang w:val="es-ES"/>
        </w:rPr>
        <w:t>Ejecutivo (2018) había</w:t>
      </w:r>
      <w:r w:rsidR="00065495" w:rsidRPr="00065495">
        <w:rPr>
          <w:bCs/>
          <w:lang w:val="es-ES"/>
        </w:rPr>
        <w:t xml:space="preserve"> examinado el informe de la quinta reunión de la Comisión Técnica Mixta OMM/COI sobre Oceanografía y Meteorología Marina (CMOMM) (</w:t>
      </w:r>
      <w:r w:rsidR="007B49DE">
        <w:fldChar w:fldCharType="begin"/>
      </w:r>
      <w:r w:rsidR="007B49DE" w:rsidRPr="007B49DE">
        <w:rPr>
          <w:lang w:val="es-ES_tradnl"/>
        </w:rPr>
        <w:instrText xml:space="preserve"> HYPERLINK "https://library.wmo.int/doc_num.php?explnum_</w:instrText>
      </w:r>
      <w:r w:rsidR="007B49DE" w:rsidRPr="007B49DE">
        <w:rPr>
          <w:lang w:val="es-ES_tradnl"/>
        </w:rPr>
        <w:instrText xml:space="preserve">id=5178/" \l "page=40" </w:instrText>
      </w:r>
      <w:r w:rsidR="007B49DE">
        <w:fldChar w:fldCharType="separate"/>
      </w:r>
      <w:r w:rsidR="00065495" w:rsidRPr="00167009">
        <w:rPr>
          <w:rStyle w:val="Hyperlink"/>
          <w:bCs/>
          <w:lang w:val="es-ES"/>
        </w:rPr>
        <w:t>Resolución 10 (EC-70)</w:t>
      </w:r>
      <w:r w:rsidR="007B49DE">
        <w:rPr>
          <w:rStyle w:val="Hyperlink"/>
          <w:bCs/>
          <w:lang w:val="es-ES"/>
        </w:rPr>
        <w:fldChar w:fldCharType="end"/>
      </w:r>
      <w:r w:rsidR="00065495" w:rsidRPr="00065495">
        <w:rPr>
          <w:bCs/>
          <w:lang w:val="es-ES"/>
        </w:rPr>
        <w:t xml:space="preserve"> — Informe de la Comisión Técnica Mixta OMM/COI sobre Oceanografía y Meteorología Marina en su quinta reunión), así como las recomendaciones de la </w:t>
      </w:r>
      <w:proofErr w:type="spellStart"/>
      <w:r w:rsidR="00065495" w:rsidRPr="00065495">
        <w:rPr>
          <w:bCs/>
          <w:lang w:val="es-ES"/>
        </w:rPr>
        <w:t>CCl</w:t>
      </w:r>
      <w:proofErr w:type="spellEnd"/>
      <w:r w:rsidR="00065495" w:rsidRPr="00065495">
        <w:rPr>
          <w:bCs/>
          <w:lang w:val="es-ES"/>
        </w:rPr>
        <w:t xml:space="preserve"> (</w:t>
      </w:r>
      <w:r w:rsidR="007B49DE">
        <w:fldChar w:fldCharType="begin"/>
      </w:r>
      <w:r w:rsidR="007B49DE" w:rsidRPr="007B49DE">
        <w:rPr>
          <w:lang w:val="es-ES_tradnl"/>
        </w:rPr>
        <w:instrText xml:space="preserve"> HYPERLINK "https://library.wmo.int/doc_num.php?explnum_i</w:instrText>
      </w:r>
      <w:r w:rsidR="007B49DE" w:rsidRPr="007B49DE">
        <w:rPr>
          <w:lang w:val="es-ES_tradnl"/>
        </w:rPr>
        <w:instrText xml:space="preserve">d=5178/" \l "page=23" </w:instrText>
      </w:r>
      <w:r w:rsidR="007B49DE">
        <w:fldChar w:fldCharType="separate"/>
      </w:r>
      <w:r w:rsidR="00065495" w:rsidRPr="00167009">
        <w:rPr>
          <w:rStyle w:val="Hyperlink"/>
          <w:bCs/>
          <w:lang w:val="es-ES"/>
        </w:rPr>
        <w:t>Resolución 5 (EC-70)</w:t>
      </w:r>
      <w:r w:rsidR="007B49DE">
        <w:rPr>
          <w:rStyle w:val="Hyperlink"/>
          <w:bCs/>
          <w:lang w:val="es-ES"/>
        </w:rPr>
        <w:fldChar w:fldCharType="end"/>
      </w:r>
      <w:r w:rsidR="00065495" w:rsidRPr="00065495">
        <w:rPr>
          <w:bCs/>
          <w:lang w:val="es-ES"/>
        </w:rPr>
        <w:t xml:space="preserve"> — Recomendaciones de la Comisión de Climatología en su decimoséptima reunión) y de la decimoséptima reunión </w:t>
      </w:r>
      <w:r w:rsidR="00065495" w:rsidRPr="00B41620">
        <w:rPr>
          <w:bCs/>
          <w:lang w:val="es-ES"/>
        </w:rPr>
        <w:t xml:space="preserve">de la </w:t>
      </w:r>
      <w:proofErr w:type="spellStart"/>
      <w:r w:rsidR="00065495" w:rsidRPr="00B41620">
        <w:rPr>
          <w:bCs/>
          <w:lang w:val="es-ES"/>
        </w:rPr>
        <w:t>CMAg</w:t>
      </w:r>
      <w:proofErr w:type="spellEnd"/>
      <w:r w:rsidR="00065495" w:rsidRPr="00B41620">
        <w:rPr>
          <w:bCs/>
          <w:lang w:val="es-ES"/>
        </w:rPr>
        <w:t xml:space="preserve"> (</w:t>
      </w:r>
      <w:r w:rsidR="007B49DE">
        <w:fldChar w:fldCharType="begin"/>
      </w:r>
      <w:r w:rsidR="007B49DE" w:rsidRPr="007B49DE">
        <w:rPr>
          <w:lang w:val="es-ES_tradnl"/>
        </w:rPr>
        <w:instrText xml:space="preserve"> HYPERLINK "https://library.wmo.int/doc_num.php?explnum_id=5178/" \l "page=45" </w:instrText>
      </w:r>
      <w:r w:rsidR="007B49DE">
        <w:fldChar w:fldCharType="separate"/>
      </w:r>
      <w:r w:rsidR="00065495" w:rsidRPr="00B41620">
        <w:rPr>
          <w:rStyle w:val="Hyperlink"/>
          <w:bCs/>
          <w:lang w:val="es-ES"/>
        </w:rPr>
        <w:t>Resolución 14 (EC-70)</w:t>
      </w:r>
      <w:r w:rsidR="007B49DE">
        <w:rPr>
          <w:rStyle w:val="Hyperlink"/>
          <w:bCs/>
          <w:lang w:val="es-ES"/>
        </w:rPr>
        <w:fldChar w:fldCharType="end"/>
      </w:r>
      <w:r w:rsidR="00065495" w:rsidRPr="00B41620">
        <w:rPr>
          <w:bCs/>
          <w:lang w:val="es-ES"/>
        </w:rPr>
        <w:t xml:space="preserve"> — Recomendaciones formuladas por la Comisión de Meteorología Agrícola en su decimoséptima reunión). Las recomendaciones de la decimosexta reunión de la Comisión de Sistemas Básicos (CSB) se examinaron en el marco de resoluciones</w:t>
      </w:r>
      <w:r w:rsidR="00065495" w:rsidRPr="00065495">
        <w:rPr>
          <w:bCs/>
          <w:lang w:val="es-ES"/>
        </w:rPr>
        <w:t xml:space="preserve"> individuales</w:t>
      </w:r>
      <w:r w:rsidR="00065495">
        <w:rPr>
          <w:bCs/>
          <w:lang w:val="es-ES"/>
        </w:rPr>
        <w:t>.</w:t>
      </w:r>
    </w:p>
    <w:p w14:paraId="17577BE7" w14:textId="1D36284C" w:rsidR="007760F6" w:rsidRDefault="007760F6" w:rsidP="00581CFE">
      <w:pPr>
        <w:tabs>
          <w:tab w:val="clear" w:pos="1134"/>
        </w:tabs>
        <w:spacing w:before="240" w:after="240"/>
        <w:jc w:val="left"/>
        <w:rPr>
          <w:b/>
          <w:bCs/>
          <w:lang w:val="es-ES_tradnl"/>
        </w:rPr>
      </w:pPr>
      <w:r w:rsidRPr="007760F6">
        <w:rPr>
          <w:b/>
          <w:bCs/>
          <w:lang w:val="es-ES"/>
        </w:rPr>
        <w:t xml:space="preserve">Equipo de Transición establecido </w:t>
      </w:r>
      <w:r w:rsidRPr="00B41620">
        <w:rPr>
          <w:b/>
          <w:bCs/>
          <w:lang w:val="es-ES"/>
        </w:rPr>
        <w:t>por el Congreso Meteorológico Mundial</w:t>
      </w:r>
      <w:r w:rsidRPr="007760F6">
        <w:rPr>
          <w:b/>
          <w:bCs/>
          <w:lang w:val="es-ES"/>
        </w:rPr>
        <w:t xml:space="preserve"> y traspaso de funciones y actividades de las </w:t>
      </w:r>
      <w:r w:rsidR="00AA3E94">
        <w:rPr>
          <w:b/>
          <w:bCs/>
          <w:lang w:val="es-ES"/>
        </w:rPr>
        <w:t xml:space="preserve">anteriores </w:t>
      </w:r>
      <w:r w:rsidRPr="007760F6">
        <w:rPr>
          <w:b/>
          <w:bCs/>
          <w:lang w:val="es-ES"/>
        </w:rPr>
        <w:t>comisiones técnicas a las nuevas</w:t>
      </w:r>
      <w:r w:rsidR="00423CC8">
        <w:rPr>
          <w:b/>
          <w:bCs/>
          <w:lang w:val="es-ES"/>
        </w:rPr>
        <w:t xml:space="preserve"> comisiones técnicas</w:t>
      </w:r>
    </w:p>
    <w:p w14:paraId="11E394B8" w14:textId="6BFCF9B5" w:rsidR="00581CFE" w:rsidRDefault="00581CFE" w:rsidP="00581CFE">
      <w:pPr>
        <w:tabs>
          <w:tab w:val="clear" w:pos="1134"/>
        </w:tabs>
        <w:spacing w:before="240" w:after="240"/>
        <w:jc w:val="left"/>
        <w:rPr>
          <w:bCs/>
          <w:lang w:val="es-ES"/>
        </w:rPr>
      </w:pPr>
      <w:r w:rsidRPr="00633FDB">
        <w:rPr>
          <w:bCs/>
          <w:lang w:val="es-ES_tradnl"/>
        </w:rPr>
        <w:t>3.</w:t>
      </w:r>
      <w:r w:rsidRPr="00633FDB">
        <w:rPr>
          <w:bCs/>
          <w:lang w:val="es-ES_tradnl"/>
        </w:rPr>
        <w:tab/>
      </w:r>
      <w:r w:rsidR="007760F6" w:rsidRPr="007760F6">
        <w:rPr>
          <w:bCs/>
          <w:lang w:val="es-ES"/>
        </w:rPr>
        <w:t xml:space="preserve">El Congreso, en virtud de la </w:t>
      </w:r>
      <w:r w:rsidR="007B49DE">
        <w:fldChar w:fldCharType="begin"/>
      </w:r>
      <w:r w:rsidR="007B49DE" w:rsidRPr="007B49DE">
        <w:rPr>
          <w:lang w:val="es-ES_tradnl"/>
        </w:rPr>
        <w:instrText xml:space="preserve"> HYPERLINK "https://library.wmo.int/doc_num.php?explnum_id=9847/" \l "page=45" </w:instrText>
      </w:r>
      <w:r w:rsidR="007B49DE">
        <w:fldChar w:fldCharType="separate"/>
      </w:r>
      <w:r w:rsidR="007760F6" w:rsidRPr="00B24B2C">
        <w:rPr>
          <w:rStyle w:val="Hyperlink"/>
          <w:bCs/>
          <w:lang w:val="es-ES"/>
        </w:rPr>
        <w:t>Resolución 7 (Cg-18)</w:t>
      </w:r>
      <w:r w:rsidR="007B49DE">
        <w:rPr>
          <w:rStyle w:val="Hyperlink"/>
          <w:bCs/>
          <w:lang w:val="es-ES"/>
        </w:rPr>
        <w:fldChar w:fldCharType="end"/>
      </w:r>
      <w:r w:rsidR="007760F6" w:rsidRPr="007760F6">
        <w:rPr>
          <w:bCs/>
          <w:lang w:val="es-ES"/>
        </w:rPr>
        <w:t xml:space="preserve">, encomendó a </w:t>
      </w:r>
      <w:r w:rsidR="007760F6" w:rsidRPr="00B41620">
        <w:rPr>
          <w:bCs/>
          <w:lang w:val="es-ES"/>
        </w:rPr>
        <w:t>un Equipo</w:t>
      </w:r>
      <w:r w:rsidR="007760F6" w:rsidRPr="007760F6">
        <w:rPr>
          <w:bCs/>
          <w:lang w:val="es-ES"/>
        </w:rPr>
        <w:t xml:space="preserve"> de Transición</w:t>
      </w:r>
      <w:r w:rsidR="003A3C69">
        <w:rPr>
          <w:rStyle w:val="FootnoteReference"/>
        </w:rPr>
        <w:footnoteReference w:id="1"/>
      </w:r>
      <w:r w:rsidR="007760F6" w:rsidRPr="007760F6">
        <w:rPr>
          <w:bCs/>
          <w:lang w:val="es-ES"/>
        </w:rPr>
        <w:t xml:space="preserve"> la labor de </w:t>
      </w:r>
      <w:r w:rsidR="00B24B2C">
        <w:rPr>
          <w:bCs/>
          <w:lang w:val="es-ES"/>
        </w:rPr>
        <w:t>garantizar</w:t>
      </w:r>
      <w:r w:rsidR="007760F6" w:rsidRPr="007760F6">
        <w:rPr>
          <w:bCs/>
          <w:lang w:val="es-ES"/>
        </w:rPr>
        <w:t xml:space="preserve">, entre otras cosas, la transición ordenada de </w:t>
      </w:r>
      <w:r w:rsidR="007760F6" w:rsidRPr="003A3C69">
        <w:rPr>
          <w:bCs/>
          <w:lang w:val="es-ES"/>
        </w:rPr>
        <w:t>las funciones normativas de</w:t>
      </w:r>
      <w:r w:rsidR="007760F6" w:rsidRPr="007760F6">
        <w:rPr>
          <w:bCs/>
          <w:lang w:val="es-ES"/>
        </w:rPr>
        <w:t xml:space="preserve"> las </w:t>
      </w:r>
      <w:r w:rsidR="007760F6" w:rsidRPr="00334019">
        <w:rPr>
          <w:bCs/>
          <w:lang w:val="es-ES"/>
        </w:rPr>
        <w:t>comisiones técnicas activas durante el decimoséptimo periodo financiero, así como la incorporación efectiva de su trabajo y de las prestaciones pertinentes</w:t>
      </w:r>
      <w:r w:rsidR="007760F6" w:rsidRPr="007760F6">
        <w:rPr>
          <w:bCs/>
          <w:lang w:val="es-ES"/>
        </w:rPr>
        <w:t xml:space="preserve"> para las </w:t>
      </w:r>
      <w:r w:rsidR="007760F6" w:rsidRPr="00463AE5">
        <w:rPr>
          <w:bCs/>
          <w:lang w:val="es-ES"/>
        </w:rPr>
        <w:t xml:space="preserve">prioridades definidas en el Plan Estratégico, a las nuevas estructuras. Sin embargo, no se precisó en qué situación quedaban las resoluciones aún </w:t>
      </w:r>
      <w:r w:rsidR="00E44535" w:rsidRPr="00463AE5">
        <w:rPr>
          <w:bCs/>
          <w:lang w:val="es-ES"/>
        </w:rPr>
        <w:t>en vigor</w:t>
      </w:r>
      <w:r w:rsidR="007760F6" w:rsidRPr="00463AE5">
        <w:rPr>
          <w:bCs/>
          <w:lang w:val="es-ES"/>
        </w:rPr>
        <w:t xml:space="preserve"> de las anteriores comisiones </w:t>
      </w:r>
      <w:r w:rsidR="007760F6" w:rsidRPr="00463AE5">
        <w:rPr>
          <w:bCs/>
          <w:lang w:val="es-ES"/>
        </w:rPr>
        <w:lastRenderedPageBreak/>
        <w:t>técnicas. El Equipo de Transición no pudo completar una tarea tan detallada,</w:t>
      </w:r>
      <w:r w:rsidR="007760F6" w:rsidRPr="007760F6">
        <w:rPr>
          <w:bCs/>
          <w:lang w:val="es-ES"/>
        </w:rPr>
        <w:t xml:space="preserve"> no solo a causa de la emergencia sanitaria provocada por la COVID-19, sino también por la imperiosa necesidad de poner en marcha las nuevas comisiones y sus subestructuras</w:t>
      </w:r>
      <w:r w:rsidR="00B24B2C">
        <w:rPr>
          <w:bCs/>
          <w:lang w:val="es-ES"/>
        </w:rPr>
        <w:t>,</w:t>
      </w:r>
      <w:r w:rsidR="007760F6" w:rsidRPr="007760F6">
        <w:rPr>
          <w:bCs/>
          <w:lang w:val="es-ES"/>
        </w:rPr>
        <w:t xml:space="preserve"> y de elaborar y aplicar su programa de trabajo con arreglo </w:t>
      </w:r>
      <w:r w:rsidR="007760F6" w:rsidRPr="00E44535">
        <w:rPr>
          <w:bCs/>
          <w:lang w:val="es-ES"/>
        </w:rPr>
        <w:t>al Plan Estratégico para 2020-2023</w:t>
      </w:r>
      <w:r w:rsidR="007760F6" w:rsidRPr="007760F6">
        <w:rPr>
          <w:bCs/>
          <w:lang w:val="es-ES"/>
        </w:rPr>
        <w:t xml:space="preserve"> </w:t>
      </w:r>
      <w:r w:rsidR="007760F6" w:rsidRPr="00463AE5">
        <w:rPr>
          <w:bCs/>
          <w:lang w:val="es-ES"/>
        </w:rPr>
        <w:t>y las ulteriores</w:t>
      </w:r>
      <w:r w:rsidR="007760F6" w:rsidRPr="007760F6">
        <w:rPr>
          <w:bCs/>
          <w:lang w:val="es-ES"/>
        </w:rPr>
        <w:t xml:space="preserve"> directrices formuladas </w:t>
      </w:r>
      <w:r w:rsidR="007760F6" w:rsidRPr="00B41620">
        <w:rPr>
          <w:bCs/>
          <w:lang w:val="es-ES"/>
        </w:rPr>
        <w:t>por el Congreso Meteorológico Mundial y el Consejo</w:t>
      </w:r>
      <w:r w:rsidR="007760F6" w:rsidRPr="007760F6">
        <w:rPr>
          <w:bCs/>
          <w:lang w:val="es-ES"/>
        </w:rPr>
        <w:t xml:space="preserve"> Ejecutivo</w:t>
      </w:r>
      <w:r w:rsidR="007760F6">
        <w:rPr>
          <w:bCs/>
          <w:lang w:val="es-ES"/>
        </w:rPr>
        <w:t>.</w:t>
      </w:r>
    </w:p>
    <w:p w14:paraId="5483D1CB" w14:textId="77777777" w:rsidR="007760F6" w:rsidRPr="007760F6" w:rsidRDefault="007760F6" w:rsidP="007760F6">
      <w:pPr>
        <w:tabs>
          <w:tab w:val="clear" w:pos="1134"/>
        </w:tabs>
        <w:spacing w:before="240" w:after="240"/>
        <w:jc w:val="left"/>
        <w:rPr>
          <w:b/>
          <w:bCs/>
          <w:lang w:val="es-ES"/>
        </w:rPr>
      </w:pPr>
      <w:r w:rsidRPr="007760F6">
        <w:rPr>
          <w:b/>
          <w:bCs/>
          <w:lang w:val="es-ES"/>
        </w:rPr>
        <w:t>Orientación del Consejo Ejecutivo</w:t>
      </w:r>
    </w:p>
    <w:p w14:paraId="7A1FDE2B" w14:textId="3FF53B67" w:rsidR="007760F6" w:rsidRDefault="007760F6" w:rsidP="007760F6">
      <w:pPr>
        <w:tabs>
          <w:tab w:val="clear" w:pos="1134"/>
        </w:tabs>
        <w:spacing w:before="240" w:after="240"/>
        <w:jc w:val="left"/>
        <w:rPr>
          <w:bCs/>
          <w:lang w:val="es-ES"/>
        </w:rPr>
      </w:pPr>
      <w:r>
        <w:rPr>
          <w:bCs/>
          <w:lang w:val="es-ES_tradnl"/>
        </w:rPr>
        <w:t>4</w:t>
      </w:r>
      <w:r w:rsidRPr="00633FDB">
        <w:rPr>
          <w:bCs/>
          <w:lang w:val="es-ES_tradnl"/>
        </w:rPr>
        <w:t>.</w:t>
      </w:r>
      <w:r w:rsidRPr="00633FDB">
        <w:rPr>
          <w:bCs/>
          <w:lang w:val="es-ES_tradnl"/>
        </w:rPr>
        <w:tab/>
      </w:r>
      <w:r w:rsidR="003A310C" w:rsidRPr="003A310C">
        <w:rPr>
          <w:bCs/>
          <w:lang w:val="es-ES"/>
        </w:rPr>
        <w:t xml:space="preserve">El Consejo Ejecutivo, </w:t>
      </w:r>
      <w:r w:rsidR="00E44535">
        <w:rPr>
          <w:bCs/>
          <w:lang w:val="es-ES"/>
        </w:rPr>
        <w:t>en su</w:t>
      </w:r>
      <w:r w:rsidR="003A310C" w:rsidRPr="003A310C">
        <w:rPr>
          <w:bCs/>
          <w:lang w:val="es-ES"/>
        </w:rPr>
        <w:t xml:space="preserve"> </w:t>
      </w:r>
      <w:r w:rsidR="007B49DE">
        <w:fldChar w:fldCharType="begin"/>
      </w:r>
      <w:r w:rsidR="007B49DE" w:rsidRPr="007B49DE">
        <w:rPr>
          <w:lang w:val="es-ES_tradnl"/>
        </w:rPr>
        <w:instrText xml:space="preserve"> HYPERLINK "https://meetings.wmo.int/EC-75/Spanish/Forms/AllItems.aspx?</w:instrText>
      </w:r>
      <w:r w:rsidR="007B49DE" w:rsidRPr="007B49DE">
        <w:rPr>
          <w:lang w:val="es-ES_tradnl"/>
        </w:rPr>
        <w:instrText xml:space="preserve">RootFolder=%2FEC%2D75%2FSpanish%2F2%2E%20VERSI%C3%93N%20PROVISIONAL%20DEL%20INFORME%20%28Documentos%20aprobados%29&amp;FolderCTID=0x012000813B2E3A092DD340A631AFA6518DEC04&amp;View=%7B510C1D73%2D57D5%2D4ED4%2DB858%2D3B4B87A8923B%7D" </w:instrText>
      </w:r>
      <w:r w:rsidR="007B49DE">
        <w:fldChar w:fldCharType="separate"/>
      </w:r>
      <w:r w:rsidR="003A310C" w:rsidRPr="000A2545">
        <w:rPr>
          <w:rStyle w:val="Hyperlink"/>
          <w:bCs/>
          <w:lang w:val="es-ES"/>
        </w:rPr>
        <w:t>Resolución 8 (EC-75)</w:t>
      </w:r>
      <w:r w:rsidR="007B49DE">
        <w:rPr>
          <w:rStyle w:val="Hyperlink"/>
          <w:bCs/>
          <w:lang w:val="es-ES"/>
        </w:rPr>
        <w:fldChar w:fldCharType="end"/>
      </w:r>
      <w:r w:rsidR="003A310C" w:rsidRPr="003A310C">
        <w:rPr>
          <w:bCs/>
          <w:lang w:val="es-ES"/>
        </w:rPr>
        <w:t xml:space="preserve"> — Examen de las resoluciones y las decisiones anteriores del Consejo Ejecutivo, </w:t>
      </w:r>
      <w:r w:rsidR="000A2545">
        <w:rPr>
          <w:bCs/>
          <w:lang w:val="es-ES"/>
        </w:rPr>
        <w:t>solicitó</w:t>
      </w:r>
      <w:r w:rsidR="003A310C" w:rsidRPr="003A310C">
        <w:rPr>
          <w:bCs/>
          <w:lang w:val="es-ES"/>
        </w:rPr>
        <w:t xml:space="preserve"> a las comisiones técnicas que emprendieran un examen de las resoluciones de las </w:t>
      </w:r>
      <w:r w:rsidR="00423CC8">
        <w:rPr>
          <w:bCs/>
          <w:lang w:val="es-ES"/>
        </w:rPr>
        <w:t xml:space="preserve">anteriores comisiones técnicas </w:t>
      </w:r>
      <w:r w:rsidR="003A310C" w:rsidRPr="003A310C">
        <w:rPr>
          <w:bCs/>
          <w:lang w:val="es-ES"/>
        </w:rPr>
        <w:t>y su correspondiente consolidación, así como un examen periódico de sus resoluciones y decisiones en vigor, y que informaran a la 76ª</w:t>
      </w:r>
      <w:r w:rsidR="000A2545">
        <w:rPr>
          <w:bCs/>
          <w:lang w:val="es-ES"/>
        </w:rPr>
        <w:t> </w:t>
      </w:r>
      <w:r w:rsidR="003A310C" w:rsidRPr="003A310C">
        <w:rPr>
          <w:bCs/>
          <w:lang w:val="es-ES"/>
        </w:rPr>
        <w:t>reunión del Consejo Ejecutivo de los progresos realizados al respecto.</w:t>
      </w:r>
      <w:r>
        <w:rPr>
          <w:bCs/>
          <w:lang w:val="es-ES"/>
        </w:rPr>
        <w:t xml:space="preserve"> </w:t>
      </w:r>
    </w:p>
    <w:p w14:paraId="046A4165" w14:textId="3F27974A" w:rsidR="007760F6" w:rsidRDefault="007760F6" w:rsidP="007760F6">
      <w:pPr>
        <w:tabs>
          <w:tab w:val="clear" w:pos="1134"/>
        </w:tabs>
        <w:spacing w:before="240" w:after="240"/>
        <w:jc w:val="left"/>
        <w:rPr>
          <w:b/>
          <w:bCs/>
          <w:lang w:val="es-ES"/>
        </w:rPr>
      </w:pPr>
      <w:r w:rsidRPr="007760F6">
        <w:rPr>
          <w:b/>
          <w:bCs/>
          <w:lang w:val="es-ES"/>
        </w:rPr>
        <w:t xml:space="preserve">Derogación de las resoluciones y las recomendaciones de las </w:t>
      </w:r>
      <w:r w:rsidR="00AA3E94">
        <w:rPr>
          <w:b/>
          <w:bCs/>
          <w:lang w:val="es-ES"/>
        </w:rPr>
        <w:t xml:space="preserve">anteriores </w:t>
      </w:r>
      <w:r w:rsidRPr="007760F6">
        <w:rPr>
          <w:b/>
          <w:bCs/>
          <w:lang w:val="es-ES"/>
        </w:rPr>
        <w:t>comisiones técnicas</w:t>
      </w:r>
    </w:p>
    <w:p w14:paraId="00880321" w14:textId="15472EA2" w:rsidR="007760F6" w:rsidRPr="00463AE5" w:rsidRDefault="007760F6" w:rsidP="007760F6">
      <w:pPr>
        <w:tabs>
          <w:tab w:val="clear" w:pos="1134"/>
        </w:tabs>
        <w:spacing w:before="240" w:after="240"/>
        <w:jc w:val="left"/>
        <w:rPr>
          <w:lang w:val="es-ES"/>
        </w:rPr>
      </w:pPr>
      <w:r w:rsidRPr="003A310C">
        <w:rPr>
          <w:bCs/>
          <w:lang w:val="es-ES"/>
        </w:rPr>
        <w:t>5.</w:t>
      </w:r>
      <w:r w:rsidRPr="003A310C">
        <w:rPr>
          <w:bCs/>
          <w:lang w:val="es-ES"/>
        </w:rPr>
        <w:tab/>
      </w:r>
      <w:r w:rsidR="003A310C" w:rsidRPr="003A310C">
        <w:rPr>
          <w:lang w:val="es-ES"/>
        </w:rPr>
        <w:t xml:space="preserve">El Grupo de Gestión de la SERCOM, junto con el Grupo de Gestión de la INFCOM, ha elaborado el documento </w:t>
      </w:r>
      <w:r w:rsidR="007B49DE">
        <w:fldChar w:fldCharType="begin"/>
      </w:r>
      <w:r w:rsidR="007B49DE" w:rsidRPr="007B49DE">
        <w:rPr>
          <w:lang w:val="es-ES_tradnl"/>
        </w:rPr>
        <w:instrText xml:space="preserve"> HYPERLINK "https://meetings.wmo.int/EC-76/InformationDocuments/Forms/AllItems.aspx" </w:instrText>
      </w:r>
      <w:r w:rsidR="007B49DE">
        <w:fldChar w:fldCharType="separate"/>
      </w:r>
      <w:r w:rsidR="00177EE8" w:rsidRPr="000D5680">
        <w:rPr>
          <w:rStyle w:val="Hyperlink"/>
          <w:lang w:val="es-ES"/>
        </w:rPr>
        <w:t>EC-76/INF. 9(2)</w:t>
      </w:r>
      <w:r w:rsidR="007B49DE">
        <w:rPr>
          <w:rStyle w:val="Hyperlink"/>
          <w:lang w:val="es-ES"/>
        </w:rPr>
        <w:fldChar w:fldCharType="end"/>
      </w:r>
      <w:r w:rsidR="00177EE8" w:rsidRPr="00463AE5">
        <w:rPr>
          <w:lang w:val="es-ES"/>
        </w:rPr>
        <w:t xml:space="preserve"> [= </w:t>
      </w:r>
      <w:r w:rsidR="007B49DE">
        <w:fldChar w:fldCharType="begin"/>
      </w:r>
      <w:r w:rsidR="007B49DE" w:rsidRPr="007B49DE">
        <w:rPr>
          <w:lang w:val="es-ES_tradnl"/>
        </w:rPr>
        <w:instrText xml:space="preserve"> HYPERLINK "https://meetings.wmo.int/SERCOM-2/_layouts</w:instrText>
      </w:r>
      <w:r w:rsidR="007B49DE" w:rsidRPr="007B49DE">
        <w:rPr>
          <w:lang w:val="es-ES_tradnl"/>
        </w:rPr>
        <w:instrText xml:space="preserve">/15/WopiFrame.aspx?sourcedoc=/SERCOM-2/InformationDocuments/SERCOM-2-INF11-1-STATUS-RES-AND-REC-OF-PAST-COMMISSION-STRUCTURE_es-MT.docx&amp;action=default" </w:instrText>
      </w:r>
      <w:r w:rsidR="007B49DE">
        <w:fldChar w:fldCharType="separate"/>
      </w:r>
      <w:r w:rsidR="003A310C" w:rsidRPr="00463AE5">
        <w:rPr>
          <w:rStyle w:val="Hyperlink"/>
          <w:lang w:val="es-ES"/>
        </w:rPr>
        <w:t xml:space="preserve">SERCOM-2/INF. </w:t>
      </w:r>
      <w:r w:rsidR="00177EE8" w:rsidRPr="00463AE5">
        <w:rPr>
          <w:rStyle w:val="Hyperlink"/>
          <w:lang w:val="es-ES"/>
        </w:rPr>
        <w:t>11.1</w:t>
      </w:r>
      <w:r w:rsidR="007B49DE">
        <w:rPr>
          <w:rStyle w:val="Hyperlink"/>
          <w:lang w:val="es-ES"/>
        </w:rPr>
        <w:fldChar w:fldCharType="end"/>
      </w:r>
      <w:r w:rsidR="00177EE8" w:rsidRPr="00463AE5">
        <w:rPr>
          <w:lang w:val="es-ES"/>
        </w:rPr>
        <w:t>]</w:t>
      </w:r>
      <w:r w:rsidR="003A310C" w:rsidRPr="00463AE5">
        <w:rPr>
          <w:lang w:val="es-ES"/>
        </w:rPr>
        <w:t xml:space="preserve"> a fin de dar respuesta a la solicitud del Consejo Ejecutivo destinada a la Comi</w:t>
      </w:r>
      <w:r w:rsidR="003A310C" w:rsidRPr="003A310C">
        <w:rPr>
          <w:lang w:val="es-ES"/>
        </w:rPr>
        <w:t xml:space="preserve">sión </w:t>
      </w:r>
      <w:r w:rsidR="003A310C" w:rsidRPr="00463AE5">
        <w:rPr>
          <w:lang w:val="es-ES"/>
        </w:rPr>
        <w:t xml:space="preserve">para que esta adopte medidas relativas a las resoluciones de las </w:t>
      </w:r>
      <w:r w:rsidR="00AA3E94" w:rsidRPr="00463AE5">
        <w:rPr>
          <w:lang w:val="es-ES"/>
        </w:rPr>
        <w:t xml:space="preserve">anteriores </w:t>
      </w:r>
      <w:r w:rsidR="003A310C" w:rsidRPr="00463AE5">
        <w:rPr>
          <w:lang w:val="es-ES"/>
        </w:rPr>
        <w:t>comisiones técnicas que le atañan. En dicho documento</w:t>
      </w:r>
      <w:r w:rsidRPr="00463AE5">
        <w:rPr>
          <w:lang w:val="es-ES"/>
        </w:rPr>
        <w:t>:</w:t>
      </w:r>
    </w:p>
    <w:p w14:paraId="2EA8965A" w14:textId="5F46C59F" w:rsidR="007760F6" w:rsidRPr="00463AE5" w:rsidRDefault="007760F6" w:rsidP="007760F6">
      <w:pPr>
        <w:pStyle w:val="WMOBodyText"/>
        <w:ind w:left="1134" w:hanging="567"/>
        <w:rPr>
          <w:lang w:val="es-ES"/>
        </w:rPr>
      </w:pPr>
      <w:r w:rsidRPr="00463AE5">
        <w:rPr>
          <w:lang w:val="es-ES"/>
        </w:rPr>
        <w:t>a)</w:t>
      </w:r>
      <w:r w:rsidRPr="00463AE5">
        <w:rPr>
          <w:lang w:val="es-ES"/>
        </w:rPr>
        <w:tab/>
      </w:r>
      <w:r w:rsidR="003A310C" w:rsidRPr="00463AE5">
        <w:rPr>
          <w:lang w:val="es-ES"/>
        </w:rPr>
        <w:t>se enumeran las resoluciones y las recomendaciones aprobadas por las últimas reuniones de las estructuras de las anteriores comisiones técnicas, incluidas las resoluciones y las recomendaciones anteriores que se mantienen en vigor y que son pertinentes para las actuales comisiones técnicas</w:t>
      </w:r>
      <w:r w:rsidRPr="00463AE5">
        <w:rPr>
          <w:lang w:val="es-ES"/>
        </w:rPr>
        <w:t>;</w:t>
      </w:r>
    </w:p>
    <w:p w14:paraId="149CB6CA" w14:textId="271E2CA3" w:rsidR="007760F6" w:rsidRPr="00463AE5" w:rsidRDefault="007760F6" w:rsidP="007760F6">
      <w:pPr>
        <w:pStyle w:val="WMOBodyText"/>
        <w:ind w:left="1134" w:hanging="567"/>
        <w:rPr>
          <w:lang w:val="es-ES"/>
        </w:rPr>
      </w:pPr>
      <w:r w:rsidRPr="00463AE5">
        <w:rPr>
          <w:lang w:val="es-ES"/>
        </w:rPr>
        <w:t>b)</w:t>
      </w:r>
      <w:r w:rsidRPr="00463AE5">
        <w:rPr>
          <w:lang w:val="es-ES"/>
        </w:rPr>
        <w:tab/>
      </w:r>
      <w:r w:rsidR="003A310C" w:rsidRPr="00463AE5">
        <w:rPr>
          <w:lang w:val="es-ES"/>
        </w:rPr>
        <w:t>se especifican las resoluciones totalmente aplicadas o que han sido sustituidas por otros instrumentos, así como las recomendaciones aceptadas</w:t>
      </w:r>
      <w:r w:rsidRPr="00463AE5">
        <w:rPr>
          <w:lang w:val="es-ES"/>
        </w:rPr>
        <w:t>;</w:t>
      </w:r>
    </w:p>
    <w:p w14:paraId="5B1D30C8" w14:textId="681EAD77" w:rsidR="007760F6" w:rsidRPr="00463AE5" w:rsidRDefault="007760F6" w:rsidP="007760F6">
      <w:pPr>
        <w:pStyle w:val="WMOBodyText"/>
        <w:ind w:left="1134" w:hanging="567"/>
        <w:rPr>
          <w:lang w:val="es-ES"/>
        </w:rPr>
      </w:pPr>
      <w:r w:rsidRPr="00463AE5">
        <w:rPr>
          <w:lang w:val="es-ES"/>
        </w:rPr>
        <w:t>c)</w:t>
      </w:r>
      <w:r w:rsidRPr="00463AE5">
        <w:rPr>
          <w:lang w:val="es-ES"/>
        </w:rPr>
        <w:tab/>
      </w:r>
      <w:r w:rsidR="003A310C" w:rsidRPr="00463AE5">
        <w:rPr>
          <w:lang w:val="es-ES"/>
        </w:rPr>
        <w:t>se especifican las resoluciones integradas total o parcialmente en instrumentos de la SERCOM o la INFCOM, o en instrumentos de otros órganos de la OMM</w:t>
      </w:r>
      <w:r w:rsidRPr="00463AE5">
        <w:rPr>
          <w:lang w:val="es-ES"/>
        </w:rPr>
        <w:t>;</w:t>
      </w:r>
    </w:p>
    <w:p w14:paraId="09E55ADA" w14:textId="20AF62E5" w:rsidR="007760F6" w:rsidRPr="003A310C" w:rsidRDefault="007760F6" w:rsidP="007760F6">
      <w:pPr>
        <w:pStyle w:val="WMOBodyText"/>
        <w:ind w:left="1134" w:hanging="567"/>
        <w:rPr>
          <w:lang w:val="es-ES"/>
        </w:rPr>
      </w:pPr>
      <w:r w:rsidRPr="00463AE5">
        <w:rPr>
          <w:lang w:val="es-ES"/>
        </w:rPr>
        <w:t>d)</w:t>
      </w:r>
      <w:r w:rsidRPr="00463AE5">
        <w:rPr>
          <w:lang w:val="es-ES"/>
        </w:rPr>
        <w:tab/>
      </w:r>
      <w:r w:rsidR="003A310C" w:rsidRPr="00463AE5">
        <w:rPr>
          <w:lang w:val="es-ES"/>
        </w:rPr>
        <w:t xml:space="preserve">se especifican las resoluciones a las que debe darse cumplimiento, si las hubiere, entre otras cosas, mediante la integración de la parte de su contenido que sea pertinente en las resoluciones consolidadas del Congreso que se someterán a la </w:t>
      </w:r>
      <w:r w:rsidR="003A310C" w:rsidRPr="00B41620">
        <w:rPr>
          <w:lang w:val="es-ES"/>
        </w:rPr>
        <w:t>consideración del Decimonoveno Congreso Meteorológico Mundial</w:t>
      </w:r>
      <w:r w:rsidRPr="00B41620">
        <w:rPr>
          <w:lang w:val="es-ES"/>
        </w:rPr>
        <w:t>.</w:t>
      </w:r>
    </w:p>
    <w:p w14:paraId="1DC1CA6D" w14:textId="0157D73A" w:rsidR="007760F6" w:rsidRPr="003A310C" w:rsidRDefault="007760F6" w:rsidP="007760F6">
      <w:pPr>
        <w:pStyle w:val="WMOBodyText"/>
        <w:ind w:left="1134" w:hanging="1134"/>
        <w:rPr>
          <w:lang w:val="es-ES"/>
        </w:rPr>
      </w:pPr>
      <w:r w:rsidRPr="003A310C">
        <w:rPr>
          <w:lang w:val="es-ES"/>
        </w:rPr>
        <w:t>6.</w:t>
      </w:r>
      <w:r w:rsidRPr="003A310C">
        <w:rPr>
          <w:lang w:val="es-ES"/>
        </w:rPr>
        <w:tab/>
      </w:r>
      <w:r w:rsidR="003A310C" w:rsidRPr="00463AE5">
        <w:rPr>
          <w:lang w:val="es-ES"/>
        </w:rPr>
        <w:t xml:space="preserve">En vista de lo que antecede, </w:t>
      </w:r>
      <w:r w:rsidR="008F237B" w:rsidRPr="00463AE5">
        <w:rPr>
          <w:lang w:val="es-ES"/>
        </w:rPr>
        <w:t>la Comisión</w:t>
      </w:r>
      <w:r w:rsidR="008F237B">
        <w:rPr>
          <w:lang w:val="es-ES"/>
        </w:rPr>
        <w:t xml:space="preserve"> de Servicios aprobó la </w:t>
      </w:r>
      <w:hyperlink r:id="rId15" w:history="1">
        <w:r w:rsidR="008F237B" w:rsidRPr="008F237B">
          <w:rPr>
            <w:rStyle w:val="Hyperlink"/>
            <w:lang w:val="es-ES"/>
          </w:rPr>
          <w:t>Recomendación 11.1/1 (SERCOM-2)</w:t>
        </w:r>
      </w:hyperlink>
      <w:r w:rsidR="008F237B">
        <w:rPr>
          <w:lang w:val="es-ES"/>
        </w:rPr>
        <w:t xml:space="preserve">, con la que convino la Comisión de Infraestructura en su </w:t>
      </w:r>
      <w:hyperlink r:id="rId16" w:history="1">
        <w:r w:rsidR="008F237B" w:rsidRPr="008F237B">
          <w:rPr>
            <w:rStyle w:val="Hyperlink"/>
            <w:lang w:val="es-ES"/>
          </w:rPr>
          <w:t>Decisión 7.6/1 (INFCOM-2)</w:t>
        </w:r>
      </w:hyperlink>
      <w:r w:rsidR="008F237B">
        <w:rPr>
          <w:lang w:val="es-ES"/>
        </w:rPr>
        <w:t xml:space="preserve">, </w:t>
      </w:r>
      <w:r w:rsidR="00442960">
        <w:rPr>
          <w:lang w:val="es-ES"/>
        </w:rPr>
        <w:t xml:space="preserve">y </w:t>
      </w:r>
      <w:r w:rsidR="008F237B">
        <w:rPr>
          <w:lang w:val="es-ES"/>
        </w:rPr>
        <w:t xml:space="preserve">por cuyo </w:t>
      </w:r>
      <w:proofErr w:type="spellStart"/>
      <w:r w:rsidR="008F237B">
        <w:rPr>
          <w:lang w:val="es-ES"/>
        </w:rPr>
        <w:t>conducto</w:t>
      </w:r>
      <w:proofErr w:type="spellEnd"/>
      <w:r w:rsidR="008F237B">
        <w:rPr>
          <w:lang w:val="es-ES"/>
        </w:rPr>
        <w:t xml:space="preserve"> se recomienda al Consejo Ejecutivo</w:t>
      </w:r>
      <w:r w:rsidR="00442960">
        <w:rPr>
          <w:lang w:val="es-ES"/>
        </w:rPr>
        <w:t xml:space="preserve"> que presente una recomendación destinada al Congreso para que derogue las resoluciones y recomendaciones de las anteriores comisiones técnicas</w:t>
      </w:r>
      <w:r w:rsidRPr="003A310C">
        <w:rPr>
          <w:lang w:val="es-ES"/>
        </w:rPr>
        <w:t>.</w:t>
      </w:r>
    </w:p>
    <w:p w14:paraId="3DD7E92F" w14:textId="2D53D27B" w:rsidR="007760F6" w:rsidRPr="003A310C" w:rsidRDefault="003A310C" w:rsidP="007760F6">
      <w:pPr>
        <w:pStyle w:val="Heading3"/>
        <w:widowControl w:val="0"/>
        <w:rPr>
          <w:lang w:val="es-ES"/>
        </w:rPr>
      </w:pPr>
      <w:r w:rsidRPr="003A310C">
        <w:rPr>
          <w:lang w:val="es-ES"/>
        </w:rPr>
        <w:t>Medida prevista</w:t>
      </w:r>
    </w:p>
    <w:p w14:paraId="6044A46A" w14:textId="746BD6B7" w:rsidR="007760F6" w:rsidRPr="003A310C" w:rsidRDefault="007760F6" w:rsidP="007760F6">
      <w:pPr>
        <w:tabs>
          <w:tab w:val="clear" w:pos="1134"/>
        </w:tabs>
        <w:spacing w:before="240" w:after="240"/>
        <w:jc w:val="left"/>
        <w:rPr>
          <w:bCs/>
          <w:lang w:val="es-ES"/>
        </w:rPr>
      </w:pPr>
      <w:r w:rsidRPr="003A310C">
        <w:rPr>
          <w:lang w:val="es-ES"/>
        </w:rPr>
        <w:t>7.</w:t>
      </w:r>
      <w:r w:rsidRPr="003A310C">
        <w:rPr>
          <w:lang w:val="es-ES"/>
        </w:rPr>
        <w:tab/>
      </w:r>
      <w:r w:rsidR="003A310C" w:rsidRPr="003A310C">
        <w:rPr>
          <w:lang w:val="es-ES"/>
        </w:rPr>
        <w:t xml:space="preserve">Se invita </w:t>
      </w:r>
      <w:r w:rsidR="00226412">
        <w:rPr>
          <w:lang w:val="es-ES"/>
        </w:rPr>
        <w:t>al Consejo Ejecutivo</w:t>
      </w:r>
      <w:r w:rsidR="003A310C" w:rsidRPr="003A310C">
        <w:rPr>
          <w:lang w:val="es-ES"/>
        </w:rPr>
        <w:t xml:space="preserve"> a aprobar el proyecto de Recomendación</w:t>
      </w:r>
      <w:r w:rsidR="00226412">
        <w:rPr>
          <w:lang w:val="es-ES"/>
        </w:rPr>
        <w:t xml:space="preserve"> 9(2)/1 (EC-76)</w:t>
      </w:r>
      <w:r w:rsidRPr="003A310C">
        <w:rPr>
          <w:color w:val="3333FF"/>
          <w:lang w:val="es-ES"/>
        </w:rPr>
        <w:t>.</w:t>
      </w:r>
    </w:p>
    <w:p w14:paraId="72FCF053" w14:textId="77777777" w:rsidR="00581CFE" w:rsidRPr="003A310C" w:rsidRDefault="00581CFE" w:rsidP="00581CFE">
      <w:pPr>
        <w:tabs>
          <w:tab w:val="clear" w:pos="1134"/>
        </w:tabs>
        <w:jc w:val="left"/>
        <w:rPr>
          <w:rFonts w:eastAsia="Verdana" w:cs="Verdana"/>
          <w:b/>
          <w:bCs/>
          <w:caps/>
          <w:kern w:val="32"/>
          <w:sz w:val="24"/>
          <w:szCs w:val="24"/>
          <w:lang w:val="es-ES" w:eastAsia="zh-TW"/>
        </w:rPr>
      </w:pPr>
      <w:r w:rsidRPr="003A310C">
        <w:rPr>
          <w:lang w:val="es-ES"/>
        </w:rPr>
        <w:br w:type="page"/>
      </w:r>
    </w:p>
    <w:p w14:paraId="0A97DDB8" w14:textId="086AAF55" w:rsidR="00581CFE" w:rsidRPr="00463AE5" w:rsidRDefault="00581CFE" w:rsidP="00581CFE">
      <w:pPr>
        <w:pStyle w:val="Heading1"/>
        <w:rPr>
          <w:lang w:val="es-ES"/>
        </w:rPr>
      </w:pPr>
      <w:bookmarkStart w:id="4" w:name="_Annex_to_Draft_2"/>
      <w:bookmarkStart w:id="5" w:name="_Annex_to_Draft"/>
      <w:bookmarkEnd w:id="4"/>
      <w:bookmarkEnd w:id="5"/>
      <w:r w:rsidRPr="00463AE5">
        <w:rPr>
          <w:lang w:val="es-ES"/>
        </w:rPr>
        <w:lastRenderedPageBreak/>
        <w:t>PROYECTO DE RECOMENDACIÓN</w:t>
      </w:r>
    </w:p>
    <w:p w14:paraId="7F219FF3" w14:textId="51C5EA34" w:rsidR="00581CFE" w:rsidRPr="00463AE5" w:rsidRDefault="00581CFE" w:rsidP="00581CFE">
      <w:pPr>
        <w:pStyle w:val="Heading2"/>
      </w:pPr>
      <w:bookmarkStart w:id="6" w:name="_DRAFT_RESOLUTION_4.2/1_(EC-64)_-_PU"/>
      <w:bookmarkStart w:id="7" w:name="_DRAFT_RESOLUTION_X.X/1"/>
      <w:bookmarkStart w:id="8" w:name="_Proyecto_de_Recomendación"/>
      <w:bookmarkStart w:id="9" w:name="_Toc319327010"/>
      <w:bookmarkEnd w:id="6"/>
      <w:bookmarkEnd w:id="7"/>
      <w:bookmarkEnd w:id="8"/>
      <w:r w:rsidRPr="00463AE5">
        <w:t xml:space="preserve">Proyecto de Recomendación </w:t>
      </w:r>
      <w:r w:rsidR="007760F6" w:rsidRPr="00463AE5">
        <w:t>9(2)</w:t>
      </w:r>
      <w:r w:rsidRPr="00463AE5">
        <w:t>/1 (EC-76)</w:t>
      </w:r>
    </w:p>
    <w:p w14:paraId="08C7554A" w14:textId="24CFE5F1" w:rsidR="00570824" w:rsidRPr="00463AE5" w:rsidRDefault="00570824" w:rsidP="00570824">
      <w:pPr>
        <w:pStyle w:val="WMOBodyText"/>
        <w:jc w:val="center"/>
        <w:rPr>
          <w:b/>
          <w:bCs/>
          <w:iCs/>
          <w:sz w:val="22"/>
          <w:szCs w:val="22"/>
          <w:lang w:val="es-ES"/>
        </w:rPr>
      </w:pPr>
      <w:bookmarkStart w:id="10" w:name="_Title_of_the"/>
      <w:bookmarkEnd w:id="9"/>
      <w:bookmarkEnd w:id="10"/>
      <w:r w:rsidRPr="00463AE5">
        <w:rPr>
          <w:b/>
          <w:bCs/>
          <w:iCs/>
          <w:sz w:val="22"/>
          <w:szCs w:val="22"/>
          <w:lang w:val="es-ES"/>
        </w:rPr>
        <w:t>Derogación de las resoluciones y las recomendaciones dimanantes</w:t>
      </w:r>
      <w:r w:rsidR="00442960" w:rsidRPr="00463AE5">
        <w:rPr>
          <w:b/>
          <w:bCs/>
          <w:iCs/>
          <w:sz w:val="22"/>
          <w:szCs w:val="22"/>
          <w:lang w:val="es-ES"/>
        </w:rPr>
        <w:br/>
      </w:r>
      <w:r w:rsidRPr="00463AE5">
        <w:rPr>
          <w:b/>
          <w:bCs/>
          <w:iCs/>
          <w:sz w:val="22"/>
          <w:szCs w:val="22"/>
          <w:lang w:val="es-ES"/>
        </w:rPr>
        <w:t>de las estructuras de las anteriores comisiones técnicas</w:t>
      </w:r>
    </w:p>
    <w:p w14:paraId="173B71FD" w14:textId="57AC51B4" w:rsidR="00581CFE" w:rsidRPr="00463AE5" w:rsidRDefault="00581CFE" w:rsidP="00581CFE">
      <w:pPr>
        <w:pStyle w:val="WMOBodyText"/>
      </w:pPr>
      <w:r w:rsidRPr="00463AE5">
        <w:t>EL CONSEJO EJECUTIVO,</w:t>
      </w:r>
    </w:p>
    <w:p w14:paraId="5E90A537" w14:textId="07C3CBA2" w:rsidR="00581CFE" w:rsidRPr="00463AE5" w:rsidRDefault="00570824" w:rsidP="00581CFE">
      <w:pPr>
        <w:pStyle w:val="WMOBodyText"/>
      </w:pPr>
      <w:r w:rsidRPr="00463AE5">
        <w:rPr>
          <w:b/>
          <w:lang w:val="es-ES"/>
        </w:rPr>
        <w:t xml:space="preserve">Habiendo examinado </w:t>
      </w:r>
      <w:r w:rsidRPr="00463AE5">
        <w:rPr>
          <w:bCs/>
          <w:lang w:val="es-ES"/>
        </w:rPr>
        <w:t xml:space="preserve">la </w:t>
      </w:r>
      <w:hyperlink r:id="rId17" w:history="1">
        <w:r w:rsidRPr="00463AE5">
          <w:rPr>
            <w:rStyle w:val="Hyperlink"/>
            <w:bCs/>
            <w:lang w:val="es-ES"/>
          </w:rPr>
          <w:t>Recomendación 11.1/1 (SERCOM-2)</w:t>
        </w:r>
      </w:hyperlink>
      <w:r w:rsidRPr="00463AE5">
        <w:rPr>
          <w:bCs/>
          <w:lang w:val="es-ES"/>
        </w:rPr>
        <w:t xml:space="preserve"> — Examen de las resoluciones y las recomendaciones dimanantes de las estructuras de las anteriores comisiones técnicas, y la </w:t>
      </w:r>
      <w:hyperlink r:id="rId18" w:history="1">
        <w:r w:rsidRPr="00463AE5">
          <w:rPr>
            <w:rStyle w:val="Hyperlink"/>
            <w:bCs/>
            <w:lang w:val="es-ES"/>
          </w:rPr>
          <w:t>Decisión 7.6/1 (INFCOM-2)</w:t>
        </w:r>
      </w:hyperlink>
      <w:r w:rsidR="009534AB" w:rsidRPr="00463AE5">
        <w:rPr>
          <w:bCs/>
          <w:lang w:val="es-ES"/>
        </w:rPr>
        <w:t xml:space="preserve"> — Examen de las resoluciones y las recomendaciones dimanantes de las estructuras de las anteriores comisiones técnicas</w:t>
      </w:r>
      <w:r w:rsidR="00581CFE" w:rsidRPr="00463AE5">
        <w:rPr>
          <w:bCs/>
        </w:rPr>
        <w:t>,</w:t>
      </w:r>
    </w:p>
    <w:p w14:paraId="6E1F128F" w14:textId="178E27FB" w:rsidR="00581CFE" w:rsidRPr="00463AE5" w:rsidRDefault="00570824" w:rsidP="00581CFE">
      <w:pPr>
        <w:pStyle w:val="WMOBodyText"/>
        <w:rPr>
          <w:bCs/>
        </w:rPr>
      </w:pPr>
      <w:r w:rsidRPr="00463AE5">
        <w:rPr>
          <w:b/>
          <w:lang w:val="es-ES"/>
        </w:rPr>
        <w:t xml:space="preserve">Estando conforme </w:t>
      </w:r>
      <w:r w:rsidRPr="00463AE5">
        <w:rPr>
          <w:bCs/>
          <w:lang w:val="es-ES"/>
        </w:rPr>
        <w:t xml:space="preserve">con la </w:t>
      </w:r>
      <w:hyperlink r:id="rId19" w:history="1">
        <w:r w:rsidRPr="00463AE5">
          <w:rPr>
            <w:rStyle w:val="Hyperlink"/>
            <w:bCs/>
            <w:lang w:val="es-ES"/>
          </w:rPr>
          <w:t>Recomendación 11.1/1 (SERCOM-2)</w:t>
        </w:r>
      </w:hyperlink>
      <w:r w:rsidR="00581CFE" w:rsidRPr="00463AE5">
        <w:rPr>
          <w:bCs/>
        </w:rPr>
        <w:t>,</w:t>
      </w:r>
    </w:p>
    <w:p w14:paraId="2F3B5142" w14:textId="760C6776" w:rsidR="00581CFE" w:rsidRPr="00463AE5" w:rsidRDefault="00570824" w:rsidP="00570824">
      <w:pPr>
        <w:pStyle w:val="WMOIndent4"/>
        <w:ind w:left="0" w:firstLine="0"/>
      </w:pPr>
      <w:r w:rsidRPr="00463AE5">
        <w:rPr>
          <w:b/>
          <w:bCs/>
          <w:lang w:val="es-ES"/>
        </w:rPr>
        <w:t>Considerando</w:t>
      </w:r>
      <w:r w:rsidRPr="00463AE5">
        <w:rPr>
          <w:lang w:val="es-ES"/>
        </w:rPr>
        <w:t xml:space="preserve"> que todas las resoluciones y las recomendaciones de las comisiones técnicas activas durante el decimoséptimo período financiero que estaban en vigor en el momento de establecerse las comisiones técnicas para el decimoctavo período financiero han sido aplicadas o bien se han integrado en los programas de trabajo de las actuales comisiones</w:t>
      </w:r>
      <w:r w:rsidR="00581CFE" w:rsidRPr="00463AE5">
        <w:t>,</w:t>
      </w:r>
    </w:p>
    <w:p w14:paraId="11A918D6" w14:textId="7C6FFE7E" w:rsidR="00581CFE" w:rsidRPr="00633FDB" w:rsidRDefault="00570824" w:rsidP="00581CFE">
      <w:pPr>
        <w:pStyle w:val="WMOBodyText"/>
      </w:pPr>
      <w:r w:rsidRPr="00463AE5">
        <w:rPr>
          <w:b/>
          <w:bCs/>
          <w:color w:val="000000"/>
          <w:lang w:val="es-ES"/>
        </w:rPr>
        <w:t xml:space="preserve">Recomienda </w:t>
      </w:r>
      <w:r w:rsidRPr="00463AE5">
        <w:rPr>
          <w:color w:val="000000"/>
          <w:lang w:val="es-ES"/>
        </w:rPr>
        <w:t>al Congreso Meteorológico Mundial que derogue las resoluciones y las recomendaciones de las comisiones técnicas activas durante el</w:t>
      </w:r>
      <w:r w:rsidRPr="00570824">
        <w:rPr>
          <w:color w:val="000000"/>
          <w:lang w:val="es-ES"/>
        </w:rPr>
        <w:t xml:space="preserve"> decimoséptimo período financiero</w:t>
      </w:r>
      <w:r w:rsidR="009534AB">
        <w:t>.</w:t>
      </w:r>
    </w:p>
    <w:p w14:paraId="3D2F3236" w14:textId="77777777" w:rsidR="00581CFE" w:rsidRPr="00633FDB" w:rsidRDefault="00581CFE" w:rsidP="00581CFE">
      <w:pPr>
        <w:spacing w:before="480"/>
        <w:jc w:val="center"/>
        <w:rPr>
          <w:lang w:val="es-ES_tradnl"/>
        </w:rPr>
      </w:pPr>
      <w:r w:rsidRPr="00633FDB">
        <w:rPr>
          <w:lang w:val="es-ES_tradnl"/>
        </w:rPr>
        <w:t>___________</w:t>
      </w:r>
    </w:p>
    <w:p w14:paraId="3D995AF3" w14:textId="0542BD21" w:rsidR="00581CFE" w:rsidRPr="009534AB" w:rsidRDefault="00570824" w:rsidP="00581CFE">
      <w:pPr>
        <w:pStyle w:val="WMONote"/>
        <w:spacing w:before="120"/>
        <w:ind w:left="680" w:hanging="680"/>
        <w:rPr>
          <w:sz w:val="20"/>
          <w:szCs w:val="20"/>
          <w:lang w:val="es-ES"/>
        </w:rPr>
      </w:pPr>
      <w:r w:rsidRPr="009534AB">
        <w:rPr>
          <w:sz w:val="20"/>
          <w:szCs w:val="20"/>
          <w:lang w:val="es-ES"/>
        </w:rPr>
        <w:t xml:space="preserve">Véase el documento </w:t>
      </w:r>
      <w:hyperlink r:id="rId20" w:history="1">
        <w:r w:rsidRPr="000D5680">
          <w:rPr>
            <w:rStyle w:val="Hyperlink"/>
            <w:sz w:val="20"/>
            <w:szCs w:val="20"/>
            <w:lang w:val="es-ES"/>
          </w:rPr>
          <w:t>EC-76/INF. 9(2)</w:t>
        </w:r>
      </w:hyperlink>
      <w:r w:rsidRPr="009534AB">
        <w:rPr>
          <w:sz w:val="20"/>
          <w:szCs w:val="20"/>
          <w:lang w:val="es-ES"/>
        </w:rPr>
        <w:t xml:space="preserve"> [= </w:t>
      </w:r>
      <w:hyperlink r:id="rId21" w:history="1">
        <w:r w:rsidRPr="009534AB">
          <w:rPr>
            <w:rStyle w:val="Hyperlink"/>
            <w:sz w:val="20"/>
            <w:szCs w:val="20"/>
            <w:lang w:val="es-ES"/>
          </w:rPr>
          <w:t>SERCOM-2/INF. 11.1</w:t>
        </w:r>
      </w:hyperlink>
      <w:r w:rsidRPr="009534AB">
        <w:rPr>
          <w:sz w:val="20"/>
          <w:szCs w:val="20"/>
          <w:lang w:val="es-ES"/>
        </w:rPr>
        <w:t>] para obtener más información</w:t>
      </w:r>
      <w:r w:rsidR="00581CFE" w:rsidRPr="009534AB">
        <w:rPr>
          <w:sz w:val="20"/>
          <w:szCs w:val="20"/>
          <w:lang w:val="es-ES"/>
        </w:rPr>
        <w:t>.</w:t>
      </w:r>
    </w:p>
    <w:p w14:paraId="3B5E6FA4" w14:textId="45811929" w:rsidR="00864DBF" w:rsidRPr="00570824" w:rsidRDefault="00864DBF" w:rsidP="00B22957">
      <w:pPr>
        <w:tabs>
          <w:tab w:val="clear" w:pos="1134"/>
        </w:tabs>
        <w:jc w:val="left"/>
        <w:rPr>
          <w:b/>
          <w:bCs/>
          <w:iCs/>
          <w:szCs w:val="22"/>
          <w:lang w:val="es-ES" w:eastAsia="zh-TW"/>
        </w:rPr>
      </w:pPr>
      <w:bookmarkStart w:id="11" w:name="_Annex_to_draft_1"/>
      <w:bookmarkEnd w:id="11"/>
    </w:p>
    <w:sectPr w:rsidR="00864DBF" w:rsidRPr="00570824" w:rsidSect="0020095E">
      <w:headerReference w:type="default" r:id="rId22"/>
      <w:headerReference w:type="first" r:id="rId23"/>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F3EA" w14:textId="77777777" w:rsidR="00B74722" w:rsidRDefault="00B74722">
      <w:r>
        <w:separator/>
      </w:r>
    </w:p>
    <w:p w14:paraId="2FC54C26" w14:textId="77777777" w:rsidR="00B74722" w:rsidRDefault="00B74722"/>
    <w:p w14:paraId="3F071643" w14:textId="77777777" w:rsidR="00B74722" w:rsidRDefault="00B74722"/>
  </w:endnote>
  <w:endnote w:type="continuationSeparator" w:id="0">
    <w:p w14:paraId="780287CA" w14:textId="77777777" w:rsidR="00B74722" w:rsidRDefault="00B74722">
      <w:r>
        <w:continuationSeparator/>
      </w:r>
    </w:p>
    <w:p w14:paraId="14203AC9" w14:textId="77777777" w:rsidR="00B74722" w:rsidRDefault="00B74722"/>
    <w:p w14:paraId="337BE1CD" w14:textId="77777777" w:rsidR="00B74722" w:rsidRDefault="00B74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F769" w14:textId="77777777" w:rsidR="00B74722" w:rsidRDefault="00B74722">
      <w:r>
        <w:separator/>
      </w:r>
    </w:p>
  </w:footnote>
  <w:footnote w:type="continuationSeparator" w:id="0">
    <w:p w14:paraId="1C8F5EA4" w14:textId="77777777" w:rsidR="00B74722" w:rsidRDefault="00B74722">
      <w:r>
        <w:continuationSeparator/>
      </w:r>
    </w:p>
    <w:p w14:paraId="432E8747" w14:textId="77777777" w:rsidR="00B74722" w:rsidRDefault="00B74722"/>
    <w:p w14:paraId="6B08967E" w14:textId="77777777" w:rsidR="00B74722" w:rsidRDefault="00B74722"/>
  </w:footnote>
  <w:footnote w:id="1">
    <w:p w14:paraId="5CEC1B27" w14:textId="43D74DE3" w:rsidR="003A3C69" w:rsidRPr="009534AB" w:rsidRDefault="003A3C69" w:rsidP="003A3C69">
      <w:pPr>
        <w:pStyle w:val="FootnoteText"/>
        <w:rPr>
          <w:lang w:val="es-ES"/>
        </w:rPr>
      </w:pPr>
      <w:r>
        <w:rPr>
          <w:rStyle w:val="FootnoteReference"/>
        </w:rPr>
        <w:footnoteRef/>
      </w:r>
      <w:r w:rsidRPr="009534AB">
        <w:rPr>
          <w:lang w:val="es-ES"/>
        </w:rPr>
        <w:t xml:space="preserve"> </w:t>
      </w:r>
      <w:r w:rsidR="009534AB" w:rsidRPr="009534AB">
        <w:rPr>
          <w:lang w:val="es-ES"/>
        </w:rPr>
        <w:t xml:space="preserve">El Equipo de Transición estuvo formado por los presidentes y vicepresidentes de las anteriores comisiones técnicas y de las nuevas comisiones técnicas, los presidentes y vicepresidentes de la Junta de Investigación y de la Asamblea sobre Hidrología y los presidentes de las asociaciones regionales, y </w:t>
      </w:r>
      <w:r w:rsidR="009534AB" w:rsidRPr="00463AE5">
        <w:rPr>
          <w:lang w:val="es-ES"/>
        </w:rPr>
        <w:t>estuvo presidido por los presidentes de las nuevas comisiones y el presidente de la Junta de Investigación</w:t>
      </w:r>
      <w:r w:rsidRPr="00463AE5">
        <w:rPr>
          <w:lang w:val="es-ES"/>
        </w:rPr>
        <w:t>.</w:t>
      </w:r>
      <w:r w:rsidR="009534AB" w:rsidRPr="00463AE5">
        <w:rPr>
          <w:lang w:val="es-ES"/>
        </w:rPr>
        <w:t xml:space="preserve"> El Equipo de Transición celebró una única reunión en Ginebra del 27 al 29 de noviembre de 2019</w:t>
      </w:r>
      <w:r w:rsidRPr="00463AE5">
        <w:rPr>
          <w:lang w:val="es-ES"/>
        </w:rPr>
        <w:t xml:space="preserve">. </w:t>
      </w:r>
      <w:r w:rsidR="009534AB" w:rsidRPr="00463AE5">
        <w:rPr>
          <w:lang w:val="es-ES"/>
        </w:rPr>
        <w:t xml:space="preserve">El informe y las recomendaciones del Equipo de Transición se </w:t>
      </w:r>
      <w:r w:rsidR="00E84C0C" w:rsidRPr="00463AE5">
        <w:rPr>
          <w:lang w:val="es-ES"/>
        </w:rPr>
        <w:t>examinaron</w:t>
      </w:r>
      <w:r w:rsidR="009534AB" w:rsidRPr="00463AE5">
        <w:rPr>
          <w:lang w:val="es-ES"/>
        </w:rPr>
        <w:t xml:space="preserve"> en el marco de la primera reunión de la INFCOM y </w:t>
      </w:r>
      <w:r w:rsidR="00423CC8">
        <w:rPr>
          <w:lang w:val="es-ES"/>
        </w:rPr>
        <w:t xml:space="preserve">de </w:t>
      </w:r>
      <w:r w:rsidR="009534AB" w:rsidRPr="00463AE5">
        <w:rPr>
          <w:lang w:val="es-ES"/>
        </w:rPr>
        <w:t>la primera reunión de la SERCOM a fin de que esos órganos pudieran elaborar su primer programa de trabajo</w:t>
      </w:r>
      <w:r w:rsidRPr="00463AE5">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D3B2" w14:textId="147097D7" w:rsidR="003C5AB0" w:rsidRDefault="003C5AB0" w:rsidP="007A7971">
    <w:pPr>
      <w:pStyle w:val="Header"/>
    </w:pPr>
    <w:r>
      <w:t>EC-7</w:t>
    </w:r>
    <w:r w:rsidR="00581CFE">
      <w:t>6</w:t>
    </w:r>
    <w:r>
      <w:t xml:space="preserve">/Doc. </w:t>
    </w:r>
    <w:r w:rsidRPr="00453B86">
      <w:fldChar w:fldCharType="begin"/>
    </w:r>
    <w:r w:rsidRPr="00EB3208">
      <w:rPr>
        <w:lang w:val="es-ES"/>
      </w:rPr>
      <w:instrText xml:space="preserve"> AUTOTEXTLIST \t "Doble click y escribid el número del documento"  \* MERGEFORMAT </w:instrText>
    </w:r>
    <w:r w:rsidRPr="00453B86">
      <w:fldChar w:fldCharType="separate"/>
    </w:r>
    <w:r w:rsidR="00B22957">
      <w:t>9(2)</w:t>
    </w:r>
    <w:r w:rsidRPr="00453B86">
      <w:fldChar w:fldCharType="end"/>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7E8F"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8727545">
    <w:abstractNumId w:val="29"/>
  </w:num>
  <w:num w:numId="2" w16cid:durableId="1598951169">
    <w:abstractNumId w:val="44"/>
  </w:num>
  <w:num w:numId="3" w16cid:durableId="1578829428">
    <w:abstractNumId w:val="27"/>
  </w:num>
  <w:num w:numId="4" w16cid:durableId="1015964767">
    <w:abstractNumId w:val="36"/>
  </w:num>
  <w:num w:numId="5" w16cid:durableId="1508599592">
    <w:abstractNumId w:val="17"/>
  </w:num>
  <w:num w:numId="6" w16cid:durableId="2112241303">
    <w:abstractNumId w:val="22"/>
  </w:num>
  <w:num w:numId="7" w16cid:durableId="1417748907">
    <w:abstractNumId w:val="18"/>
  </w:num>
  <w:num w:numId="8" w16cid:durableId="1231422400">
    <w:abstractNumId w:val="30"/>
  </w:num>
  <w:num w:numId="9" w16cid:durableId="1951666627">
    <w:abstractNumId w:val="21"/>
  </w:num>
  <w:num w:numId="10" w16cid:durableId="346255320">
    <w:abstractNumId w:val="20"/>
  </w:num>
  <w:num w:numId="11" w16cid:durableId="1061903669">
    <w:abstractNumId w:val="35"/>
  </w:num>
  <w:num w:numId="12" w16cid:durableId="1086459443">
    <w:abstractNumId w:val="11"/>
  </w:num>
  <w:num w:numId="13" w16cid:durableId="238907929">
    <w:abstractNumId w:val="25"/>
  </w:num>
  <w:num w:numId="14" w16cid:durableId="1894124035">
    <w:abstractNumId w:val="40"/>
  </w:num>
  <w:num w:numId="15" w16cid:durableId="679312853">
    <w:abstractNumId w:val="19"/>
  </w:num>
  <w:num w:numId="16" w16cid:durableId="593320867">
    <w:abstractNumId w:val="9"/>
  </w:num>
  <w:num w:numId="17" w16cid:durableId="1849443877">
    <w:abstractNumId w:val="7"/>
  </w:num>
  <w:num w:numId="18" w16cid:durableId="722094827">
    <w:abstractNumId w:val="6"/>
  </w:num>
  <w:num w:numId="19" w16cid:durableId="54277524">
    <w:abstractNumId w:val="5"/>
  </w:num>
  <w:num w:numId="20" w16cid:durableId="1166165708">
    <w:abstractNumId w:val="4"/>
  </w:num>
  <w:num w:numId="21" w16cid:durableId="1662854376">
    <w:abstractNumId w:val="8"/>
  </w:num>
  <w:num w:numId="22" w16cid:durableId="270013946">
    <w:abstractNumId w:val="3"/>
  </w:num>
  <w:num w:numId="23" w16cid:durableId="1811820518">
    <w:abstractNumId w:val="2"/>
  </w:num>
  <w:num w:numId="24" w16cid:durableId="1239679110">
    <w:abstractNumId w:val="1"/>
  </w:num>
  <w:num w:numId="25" w16cid:durableId="1081147938">
    <w:abstractNumId w:val="0"/>
  </w:num>
  <w:num w:numId="26" w16cid:durableId="1030374426">
    <w:abstractNumId w:val="42"/>
  </w:num>
  <w:num w:numId="27" w16cid:durableId="1740247467">
    <w:abstractNumId w:val="31"/>
  </w:num>
  <w:num w:numId="28" w16cid:durableId="1346905864">
    <w:abstractNumId w:val="23"/>
  </w:num>
  <w:num w:numId="29" w16cid:durableId="1573739526">
    <w:abstractNumId w:val="32"/>
  </w:num>
  <w:num w:numId="30" w16cid:durableId="1267614929">
    <w:abstractNumId w:val="33"/>
  </w:num>
  <w:num w:numId="31" w16cid:durableId="253243741">
    <w:abstractNumId w:val="14"/>
  </w:num>
  <w:num w:numId="32" w16cid:durableId="25720563">
    <w:abstractNumId w:val="39"/>
  </w:num>
  <w:num w:numId="33" w16cid:durableId="975111204">
    <w:abstractNumId w:val="37"/>
  </w:num>
  <w:num w:numId="34" w16cid:durableId="102382097">
    <w:abstractNumId w:val="24"/>
  </w:num>
  <w:num w:numId="35" w16cid:durableId="813135631">
    <w:abstractNumId w:val="26"/>
  </w:num>
  <w:num w:numId="36" w16cid:durableId="413279347">
    <w:abstractNumId w:val="43"/>
  </w:num>
  <w:num w:numId="37" w16cid:durableId="1488520967">
    <w:abstractNumId w:val="34"/>
  </w:num>
  <w:num w:numId="38" w16cid:durableId="943268571">
    <w:abstractNumId w:val="12"/>
  </w:num>
  <w:num w:numId="39" w16cid:durableId="1071194080">
    <w:abstractNumId w:val="13"/>
  </w:num>
  <w:num w:numId="40" w16cid:durableId="151259600">
    <w:abstractNumId w:val="15"/>
  </w:num>
  <w:num w:numId="41" w16cid:durableId="669020561">
    <w:abstractNumId w:val="10"/>
  </w:num>
  <w:num w:numId="42" w16cid:durableId="1717852024">
    <w:abstractNumId w:val="41"/>
  </w:num>
  <w:num w:numId="43" w16cid:durableId="1841314402">
    <w:abstractNumId w:val="16"/>
  </w:num>
  <w:num w:numId="44" w16cid:durableId="259339632">
    <w:abstractNumId w:val="28"/>
  </w:num>
  <w:num w:numId="45" w16cid:durableId="13023465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8A"/>
    <w:rsid w:val="00001E4F"/>
    <w:rsid w:val="000206A8"/>
    <w:rsid w:val="0003137A"/>
    <w:rsid w:val="00041171"/>
    <w:rsid w:val="00041727"/>
    <w:rsid w:val="0004226F"/>
    <w:rsid w:val="00050F8E"/>
    <w:rsid w:val="000573AD"/>
    <w:rsid w:val="00064F6B"/>
    <w:rsid w:val="00065495"/>
    <w:rsid w:val="00072F17"/>
    <w:rsid w:val="000806D8"/>
    <w:rsid w:val="00082C80"/>
    <w:rsid w:val="00083847"/>
    <w:rsid w:val="00083C36"/>
    <w:rsid w:val="00085CB0"/>
    <w:rsid w:val="00095E48"/>
    <w:rsid w:val="000A2545"/>
    <w:rsid w:val="000A69BF"/>
    <w:rsid w:val="000A7608"/>
    <w:rsid w:val="000C225A"/>
    <w:rsid w:val="000C6781"/>
    <w:rsid w:val="000D5680"/>
    <w:rsid w:val="000F5E49"/>
    <w:rsid w:val="000F7A87"/>
    <w:rsid w:val="00105D2E"/>
    <w:rsid w:val="00111BFD"/>
    <w:rsid w:val="0011498B"/>
    <w:rsid w:val="00120147"/>
    <w:rsid w:val="00123140"/>
    <w:rsid w:val="00123D94"/>
    <w:rsid w:val="001527A3"/>
    <w:rsid w:val="00156266"/>
    <w:rsid w:val="00156F9B"/>
    <w:rsid w:val="00157949"/>
    <w:rsid w:val="00163BA3"/>
    <w:rsid w:val="00166B31"/>
    <w:rsid w:val="00167009"/>
    <w:rsid w:val="00177EE8"/>
    <w:rsid w:val="00180771"/>
    <w:rsid w:val="001930A3"/>
    <w:rsid w:val="00196EB8"/>
    <w:rsid w:val="001A0388"/>
    <w:rsid w:val="001A341E"/>
    <w:rsid w:val="001B0EA6"/>
    <w:rsid w:val="001B198E"/>
    <w:rsid w:val="001B1CDF"/>
    <w:rsid w:val="001B56F4"/>
    <w:rsid w:val="001C5462"/>
    <w:rsid w:val="001D265C"/>
    <w:rsid w:val="001D3062"/>
    <w:rsid w:val="001D3CFB"/>
    <w:rsid w:val="001D559B"/>
    <w:rsid w:val="001D6302"/>
    <w:rsid w:val="001E740C"/>
    <w:rsid w:val="001E7DD0"/>
    <w:rsid w:val="001F1BDA"/>
    <w:rsid w:val="0020095E"/>
    <w:rsid w:val="00210D30"/>
    <w:rsid w:val="002204FD"/>
    <w:rsid w:val="00226412"/>
    <w:rsid w:val="002308B5"/>
    <w:rsid w:val="00234A34"/>
    <w:rsid w:val="0024027B"/>
    <w:rsid w:val="0025255D"/>
    <w:rsid w:val="00255EE3"/>
    <w:rsid w:val="00266262"/>
    <w:rsid w:val="00270480"/>
    <w:rsid w:val="002779AF"/>
    <w:rsid w:val="002823D8"/>
    <w:rsid w:val="0028531A"/>
    <w:rsid w:val="00285446"/>
    <w:rsid w:val="00295593"/>
    <w:rsid w:val="002A354F"/>
    <w:rsid w:val="002A386C"/>
    <w:rsid w:val="002B08CA"/>
    <w:rsid w:val="002B540D"/>
    <w:rsid w:val="002C30BC"/>
    <w:rsid w:val="002C49B1"/>
    <w:rsid w:val="002C5965"/>
    <w:rsid w:val="002C7A88"/>
    <w:rsid w:val="002D232B"/>
    <w:rsid w:val="002D2759"/>
    <w:rsid w:val="002D5E00"/>
    <w:rsid w:val="002D6DAC"/>
    <w:rsid w:val="002E261D"/>
    <w:rsid w:val="002E3FAD"/>
    <w:rsid w:val="002E4E16"/>
    <w:rsid w:val="002F3545"/>
    <w:rsid w:val="002F6DAC"/>
    <w:rsid w:val="00301E8C"/>
    <w:rsid w:val="003027F9"/>
    <w:rsid w:val="00314D5D"/>
    <w:rsid w:val="00320009"/>
    <w:rsid w:val="00321246"/>
    <w:rsid w:val="0032424A"/>
    <w:rsid w:val="003245D3"/>
    <w:rsid w:val="00330AA3"/>
    <w:rsid w:val="00334019"/>
    <w:rsid w:val="00334987"/>
    <w:rsid w:val="00342E34"/>
    <w:rsid w:val="00344F8D"/>
    <w:rsid w:val="003647DA"/>
    <w:rsid w:val="00371CF1"/>
    <w:rsid w:val="003750C1"/>
    <w:rsid w:val="00380AF7"/>
    <w:rsid w:val="00383F53"/>
    <w:rsid w:val="00394A05"/>
    <w:rsid w:val="00397770"/>
    <w:rsid w:val="00397880"/>
    <w:rsid w:val="003A310C"/>
    <w:rsid w:val="003A3C12"/>
    <w:rsid w:val="003A3C69"/>
    <w:rsid w:val="003A7016"/>
    <w:rsid w:val="003B7AA1"/>
    <w:rsid w:val="003C17A5"/>
    <w:rsid w:val="003C5AB0"/>
    <w:rsid w:val="003D1552"/>
    <w:rsid w:val="003D5A17"/>
    <w:rsid w:val="003D68F1"/>
    <w:rsid w:val="003E4046"/>
    <w:rsid w:val="003F003A"/>
    <w:rsid w:val="003F125B"/>
    <w:rsid w:val="003F7B3F"/>
    <w:rsid w:val="00402F84"/>
    <w:rsid w:val="0041078D"/>
    <w:rsid w:val="00416F97"/>
    <w:rsid w:val="00423CC8"/>
    <w:rsid w:val="0043039B"/>
    <w:rsid w:val="00435FCA"/>
    <w:rsid w:val="004423FE"/>
    <w:rsid w:val="00442960"/>
    <w:rsid w:val="00445C35"/>
    <w:rsid w:val="00447D93"/>
    <w:rsid w:val="0045663A"/>
    <w:rsid w:val="00456E01"/>
    <w:rsid w:val="0046344E"/>
    <w:rsid w:val="00463AE5"/>
    <w:rsid w:val="004667E7"/>
    <w:rsid w:val="00475797"/>
    <w:rsid w:val="0049253B"/>
    <w:rsid w:val="004A140B"/>
    <w:rsid w:val="004A6403"/>
    <w:rsid w:val="004B7BAA"/>
    <w:rsid w:val="004C2DF7"/>
    <w:rsid w:val="004C46AE"/>
    <w:rsid w:val="004C4E0B"/>
    <w:rsid w:val="004D497E"/>
    <w:rsid w:val="004E2327"/>
    <w:rsid w:val="004E4809"/>
    <w:rsid w:val="004E5985"/>
    <w:rsid w:val="004E6352"/>
    <w:rsid w:val="004E6460"/>
    <w:rsid w:val="004F6B46"/>
    <w:rsid w:val="0050607D"/>
    <w:rsid w:val="00511999"/>
    <w:rsid w:val="00514EAC"/>
    <w:rsid w:val="00521EA5"/>
    <w:rsid w:val="00523DCC"/>
    <w:rsid w:val="00525B80"/>
    <w:rsid w:val="00527225"/>
    <w:rsid w:val="0053098F"/>
    <w:rsid w:val="00536B2E"/>
    <w:rsid w:val="00546D8E"/>
    <w:rsid w:val="00553738"/>
    <w:rsid w:val="00570824"/>
    <w:rsid w:val="00571AE1"/>
    <w:rsid w:val="00576A8A"/>
    <w:rsid w:val="00581CFE"/>
    <w:rsid w:val="00585ED5"/>
    <w:rsid w:val="00592267"/>
    <w:rsid w:val="0059421F"/>
    <w:rsid w:val="00596CF0"/>
    <w:rsid w:val="005A24CE"/>
    <w:rsid w:val="005B0AE2"/>
    <w:rsid w:val="005B1F2C"/>
    <w:rsid w:val="005B5F3C"/>
    <w:rsid w:val="005D03D9"/>
    <w:rsid w:val="005D1EE8"/>
    <w:rsid w:val="005D56AE"/>
    <w:rsid w:val="005D666D"/>
    <w:rsid w:val="005E3A59"/>
    <w:rsid w:val="00604802"/>
    <w:rsid w:val="00615AB0"/>
    <w:rsid w:val="0061778C"/>
    <w:rsid w:val="00633FDB"/>
    <w:rsid w:val="00636B90"/>
    <w:rsid w:val="006449B2"/>
    <w:rsid w:val="0064738B"/>
    <w:rsid w:val="006508EA"/>
    <w:rsid w:val="00662234"/>
    <w:rsid w:val="00667E86"/>
    <w:rsid w:val="0068392D"/>
    <w:rsid w:val="00697DB5"/>
    <w:rsid w:val="006A1B33"/>
    <w:rsid w:val="006A492A"/>
    <w:rsid w:val="006B5C72"/>
    <w:rsid w:val="006D0310"/>
    <w:rsid w:val="006D2009"/>
    <w:rsid w:val="006D5576"/>
    <w:rsid w:val="006E766D"/>
    <w:rsid w:val="006F4B29"/>
    <w:rsid w:val="006F6CE9"/>
    <w:rsid w:val="0070517C"/>
    <w:rsid w:val="00705C9F"/>
    <w:rsid w:val="00716951"/>
    <w:rsid w:val="00720F6B"/>
    <w:rsid w:val="00735D9E"/>
    <w:rsid w:val="00745A09"/>
    <w:rsid w:val="00751EAF"/>
    <w:rsid w:val="00754CF7"/>
    <w:rsid w:val="00757B0D"/>
    <w:rsid w:val="00761320"/>
    <w:rsid w:val="0076135A"/>
    <w:rsid w:val="007651B1"/>
    <w:rsid w:val="00771A68"/>
    <w:rsid w:val="007744D2"/>
    <w:rsid w:val="007760F6"/>
    <w:rsid w:val="00786136"/>
    <w:rsid w:val="00790BA8"/>
    <w:rsid w:val="007A7971"/>
    <w:rsid w:val="007B49DE"/>
    <w:rsid w:val="007C212A"/>
    <w:rsid w:val="007C4BE3"/>
    <w:rsid w:val="007E7D21"/>
    <w:rsid w:val="007F482F"/>
    <w:rsid w:val="007F7C94"/>
    <w:rsid w:val="0080398D"/>
    <w:rsid w:val="00806385"/>
    <w:rsid w:val="00807CC5"/>
    <w:rsid w:val="00814CC6"/>
    <w:rsid w:val="00831751"/>
    <w:rsid w:val="00833369"/>
    <w:rsid w:val="00835B42"/>
    <w:rsid w:val="00842A4E"/>
    <w:rsid w:val="008451AA"/>
    <w:rsid w:val="00845D0B"/>
    <w:rsid w:val="00847D99"/>
    <w:rsid w:val="0085038E"/>
    <w:rsid w:val="008536F5"/>
    <w:rsid w:val="0086271D"/>
    <w:rsid w:val="0086420B"/>
    <w:rsid w:val="00864DBF"/>
    <w:rsid w:val="00865AE2"/>
    <w:rsid w:val="008842A0"/>
    <w:rsid w:val="0089601F"/>
    <w:rsid w:val="008A7313"/>
    <w:rsid w:val="008A7D91"/>
    <w:rsid w:val="008B7FC7"/>
    <w:rsid w:val="008C4337"/>
    <w:rsid w:val="008C4F06"/>
    <w:rsid w:val="008E1E4A"/>
    <w:rsid w:val="008F0615"/>
    <w:rsid w:val="008F103E"/>
    <w:rsid w:val="008F1FDB"/>
    <w:rsid w:val="008F237B"/>
    <w:rsid w:val="008F36FB"/>
    <w:rsid w:val="0090427F"/>
    <w:rsid w:val="00920506"/>
    <w:rsid w:val="00921085"/>
    <w:rsid w:val="00931DEB"/>
    <w:rsid w:val="00933957"/>
    <w:rsid w:val="00950605"/>
    <w:rsid w:val="00952233"/>
    <w:rsid w:val="009534AB"/>
    <w:rsid w:val="00954D66"/>
    <w:rsid w:val="009559E0"/>
    <w:rsid w:val="00963F8F"/>
    <w:rsid w:val="00973C62"/>
    <w:rsid w:val="00975D76"/>
    <w:rsid w:val="00982E51"/>
    <w:rsid w:val="009874B9"/>
    <w:rsid w:val="00993581"/>
    <w:rsid w:val="009A288C"/>
    <w:rsid w:val="009A2EC3"/>
    <w:rsid w:val="009A64C1"/>
    <w:rsid w:val="009B6697"/>
    <w:rsid w:val="009C2EA4"/>
    <w:rsid w:val="009C4C04"/>
    <w:rsid w:val="009E2BBD"/>
    <w:rsid w:val="009F7566"/>
    <w:rsid w:val="00A06BFE"/>
    <w:rsid w:val="00A10F5D"/>
    <w:rsid w:val="00A1243C"/>
    <w:rsid w:val="00A135AE"/>
    <w:rsid w:val="00A14AF1"/>
    <w:rsid w:val="00A16891"/>
    <w:rsid w:val="00A268CE"/>
    <w:rsid w:val="00A332E8"/>
    <w:rsid w:val="00A35AF5"/>
    <w:rsid w:val="00A35DDF"/>
    <w:rsid w:val="00A36CBA"/>
    <w:rsid w:val="00A41E35"/>
    <w:rsid w:val="00A45741"/>
    <w:rsid w:val="00A50291"/>
    <w:rsid w:val="00A530E4"/>
    <w:rsid w:val="00A604CD"/>
    <w:rsid w:val="00A60FE6"/>
    <w:rsid w:val="00A622F5"/>
    <w:rsid w:val="00A654BE"/>
    <w:rsid w:val="00A66DD6"/>
    <w:rsid w:val="00A7411D"/>
    <w:rsid w:val="00A771FD"/>
    <w:rsid w:val="00A874EF"/>
    <w:rsid w:val="00A95415"/>
    <w:rsid w:val="00AA3C89"/>
    <w:rsid w:val="00AA3E94"/>
    <w:rsid w:val="00AA4235"/>
    <w:rsid w:val="00AB32BD"/>
    <w:rsid w:val="00AB4723"/>
    <w:rsid w:val="00AC4CDB"/>
    <w:rsid w:val="00AC70FE"/>
    <w:rsid w:val="00AD33A8"/>
    <w:rsid w:val="00AD4358"/>
    <w:rsid w:val="00AE1DD3"/>
    <w:rsid w:val="00AF61E1"/>
    <w:rsid w:val="00AF638A"/>
    <w:rsid w:val="00B00141"/>
    <w:rsid w:val="00B009AA"/>
    <w:rsid w:val="00B01B02"/>
    <w:rsid w:val="00B030C8"/>
    <w:rsid w:val="00B056E7"/>
    <w:rsid w:val="00B05B71"/>
    <w:rsid w:val="00B10035"/>
    <w:rsid w:val="00B15C76"/>
    <w:rsid w:val="00B165E6"/>
    <w:rsid w:val="00B22957"/>
    <w:rsid w:val="00B235DB"/>
    <w:rsid w:val="00B24B2C"/>
    <w:rsid w:val="00B25263"/>
    <w:rsid w:val="00B31C07"/>
    <w:rsid w:val="00B347B9"/>
    <w:rsid w:val="00B41620"/>
    <w:rsid w:val="00B4340B"/>
    <w:rsid w:val="00B447C0"/>
    <w:rsid w:val="00B5229B"/>
    <w:rsid w:val="00B548A2"/>
    <w:rsid w:val="00B56934"/>
    <w:rsid w:val="00B62F03"/>
    <w:rsid w:val="00B72444"/>
    <w:rsid w:val="00B74722"/>
    <w:rsid w:val="00B93B62"/>
    <w:rsid w:val="00B953D1"/>
    <w:rsid w:val="00BA30D0"/>
    <w:rsid w:val="00BA6E7D"/>
    <w:rsid w:val="00BB0D32"/>
    <w:rsid w:val="00BC6F2F"/>
    <w:rsid w:val="00BC74EA"/>
    <w:rsid w:val="00BC76B5"/>
    <w:rsid w:val="00BD5420"/>
    <w:rsid w:val="00C04BD2"/>
    <w:rsid w:val="00C13EEC"/>
    <w:rsid w:val="00C14689"/>
    <w:rsid w:val="00C156A4"/>
    <w:rsid w:val="00C20FAA"/>
    <w:rsid w:val="00C2459D"/>
    <w:rsid w:val="00C316F1"/>
    <w:rsid w:val="00C42C95"/>
    <w:rsid w:val="00C4470F"/>
    <w:rsid w:val="00C55E5B"/>
    <w:rsid w:val="00C57D64"/>
    <w:rsid w:val="00C62739"/>
    <w:rsid w:val="00C720A4"/>
    <w:rsid w:val="00C7611C"/>
    <w:rsid w:val="00C94097"/>
    <w:rsid w:val="00C97BD7"/>
    <w:rsid w:val="00CA4269"/>
    <w:rsid w:val="00CA7330"/>
    <w:rsid w:val="00CB1C84"/>
    <w:rsid w:val="00CB64F0"/>
    <w:rsid w:val="00CC2909"/>
    <w:rsid w:val="00CD0549"/>
    <w:rsid w:val="00CD536B"/>
    <w:rsid w:val="00CF40BF"/>
    <w:rsid w:val="00D05E6F"/>
    <w:rsid w:val="00D14624"/>
    <w:rsid w:val="00D24F2A"/>
    <w:rsid w:val="00D27929"/>
    <w:rsid w:val="00D331FA"/>
    <w:rsid w:val="00D33442"/>
    <w:rsid w:val="00D44BAD"/>
    <w:rsid w:val="00D45B55"/>
    <w:rsid w:val="00D7097B"/>
    <w:rsid w:val="00D91DFA"/>
    <w:rsid w:val="00DA159A"/>
    <w:rsid w:val="00DA4CFF"/>
    <w:rsid w:val="00DB1AB2"/>
    <w:rsid w:val="00DC4FDF"/>
    <w:rsid w:val="00DC66F0"/>
    <w:rsid w:val="00DD2F0E"/>
    <w:rsid w:val="00DD3A65"/>
    <w:rsid w:val="00DD62C6"/>
    <w:rsid w:val="00DE7137"/>
    <w:rsid w:val="00E00498"/>
    <w:rsid w:val="00E14ADB"/>
    <w:rsid w:val="00E2617A"/>
    <w:rsid w:val="00E31CD4"/>
    <w:rsid w:val="00E42957"/>
    <w:rsid w:val="00E44535"/>
    <w:rsid w:val="00E47778"/>
    <w:rsid w:val="00E538E6"/>
    <w:rsid w:val="00E802A2"/>
    <w:rsid w:val="00E84C0C"/>
    <w:rsid w:val="00E85C0B"/>
    <w:rsid w:val="00EB13D7"/>
    <w:rsid w:val="00EB1E83"/>
    <w:rsid w:val="00EC7CF5"/>
    <w:rsid w:val="00ED22CB"/>
    <w:rsid w:val="00ED67AF"/>
    <w:rsid w:val="00ED709D"/>
    <w:rsid w:val="00EE128C"/>
    <w:rsid w:val="00EE4C48"/>
    <w:rsid w:val="00EF66D9"/>
    <w:rsid w:val="00EF68E3"/>
    <w:rsid w:val="00EF6BA5"/>
    <w:rsid w:val="00EF780D"/>
    <w:rsid w:val="00EF7A98"/>
    <w:rsid w:val="00F0267E"/>
    <w:rsid w:val="00F11B47"/>
    <w:rsid w:val="00F166B2"/>
    <w:rsid w:val="00F25D8D"/>
    <w:rsid w:val="00F3017D"/>
    <w:rsid w:val="00F420E4"/>
    <w:rsid w:val="00F44CCB"/>
    <w:rsid w:val="00F474C9"/>
    <w:rsid w:val="00F5126B"/>
    <w:rsid w:val="00F54EA3"/>
    <w:rsid w:val="00F5693C"/>
    <w:rsid w:val="00F607D1"/>
    <w:rsid w:val="00F61675"/>
    <w:rsid w:val="00F6686B"/>
    <w:rsid w:val="00F67F74"/>
    <w:rsid w:val="00F712B3"/>
    <w:rsid w:val="00F73DE3"/>
    <w:rsid w:val="00F744BF"/>
    <w:rsid w:val="00F77219"/>
    <w:rsid w:val="00F84DD2"/>
    <w:rsid w:val="00FA4ECF"/>
    <w:rsid w:val="00FB0872"/>
    <w:rsid w:val="00FB54CC"/>
    <w:rsid w:val="00FC009F"/>
    <w:rsid w:val="00FD1A37"/>
    <w:rsid w:val="00FD4E5B"/>
    <w:rsid w:val="00FE4EE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0AC6C7"/>
  <w15:docId w15:val="{7362AA62-6EB9-4267-B6E4-AB0197CE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mo.int/INFCOM-2/_layouts/15/WopiFrame.aspx?sourcedoc=/INFCOM-2/Spanish/2.%20VERSI%C3%93N%20PROVISIONAL%20DEL%20INFORME%20(Documentos%20aprobados)/INFCOM-2-d07-6-REVIEW-RES-REC-PAST-COMMISSION-approved_es.docx&amp;action=default" TargetMode="External"/><Relationship Id="rId18" Type="http://schemas.openxmlformats.org/officeDocument/2006/relationships/hyperlink" Target="https://meetings.wmo.int/INFCOM-2/_layouts/15/WopiFrame.aspx?sourcedoc=/INFCOM-2/Spanish/2.%20VERSI%C3%93N%20PROVISIONAL%20DEL%20INFORME%20(Documentos%20aprobados)/INFCOM-2-d07-6-REVIEW-RES-REC-PAST-COMMISSION-approved_es.docx&amp;action=default" TargetMode="External"/><Relationship Id="rId3" Type="http://schemas.openxmlformats.org/officeDocument/2006/relationships/customXml" Target="../customXml/item3.xml"/><Relationship Id="rId21" Type="http://schemas.openxmlformats.org/officeDocument/2006/relationships/hyperlink" Target="https://meetings.wmo.int/SERCOM-2/_layouts/15/WopiFrame.aspx?sourcedoc=/SERCOM-2/InformationDocuments/SERCOM-2-INF11-1-STATUS-RES-AND-REC-OF-PAST-COMMISSION-STRUCTURE_es-MT.docx&amp;action=default" TargetMode="External"/><Relationship Id="rId7" Type="http://schemas.openxmlformats.org/officeDocument/2006/relationships/settings" Target="settings.xml"/><Relationship Id="rId12" Type="http://schemas.openxmlformats.org/officeDocument/2006/relationships/hyperlink" Target="https://meetings.wmo.int/SERCOM-2/_layouts/15/WopiFrame.aspx?sourcedoc=/SERCOM-2/Spanish/2.%20VERSI%C3%93N%20PROVISIONAL%20DEL%20INFORME%20(Documentos%20aprobados)/SERCOM-2-d11-1-REVIEW-OF-RES-AND-REC-OF-PAST-COMMISSIONS-approved_es.docx&amp;action=default" TargetMode="External"/><Relationship Id="rId17" Type="http://schemas.openxmlformats.org/officeDocument/2006/relationships/hyperlink" Target="https://meetings.wmo.int/SERCOM-2/_layouts/15/WopiFrame.aspx?sourcedoc=/SERCOM-2/Spanish/2.%20VERSI%C3%93N%20PROVISIONAL%20DEL%20INFORME%20(Documentos%20aprobados)/SERCOM-2-d11-1-REVIEW-OF-RES-AND-REC-OF-PAST-COMMISSIONS-approved_es.docx&amp;action=defau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etings.wmo.int/INFCOM-2/_layouts/15/WopiFrame.aspx?sourcedoc=/INFCOM-2/Spanish/2.%20VERSI%C3%93N%20PROVISIONAL%20DEL%20INFORME%20(Documentos%20aprobados)/INFCOM-2-d07-6-REVIEW-RES-REC-PAST-COMMISSION-approved_es.docx&amp;action=default" TargetMode="External"/><Relationship Id="rId20" Type="http://schemas.openxmlformats.org/officeDocument/2006/relationships/hyperlink" Target="https://meetings.wmo.int/EC-76/InformationDocuments/Forms/AllItem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eetings.wmo.int/SERCOM-2/_layouts/15/WopiFrame.aspx?sourcedoc=/SERCOM-2/Spanish/2.%20VERSI%C3%93N%20PROVISIONAL%20DEL%20INFORME%20(Documentos%20aprobados)/SERCOM-2-d11-1-REVIEW-OF-RES-AND-REC-OF-PAST-COMMISSIONS-approved_es.docx&amp;action=default"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meetings.wmo.int/SERCOM-2/_layouts/15/WopiFrame.aspx?sourcedoc=/SERCOM-2/Spanish/2.%20VERSI%C3%93N%20PROVISIONAL%20DEL%20INFORME%20(Documentos%20aprobados)/SERCOM-2-d11-1-REVIEW-OF-RES-AND-REC-OF-PAST-COMMISSIONS-approved_es.docx&amp;action=defa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etings.wmo.int/EC-75/Spanish/Forms/AllItems.aspx?RootFolder=%2FEC%2D75%2FSpanish%2F2%2E%20VERSI%C3%93N%20PROVISIONAL%20DEL%20INFORME%20%28Documentos%20aprobados%29&amp;FolderCTID=0x012000813B2E3A092DD340A631AFA6518DEC04&amp;View=%7B510C1D73%2D57D5%2D4ED4%2DB858%2D3B4B87A8923B%7D"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135B-B8A2-4868-9FF0-984E5C2CDBF4}"/>
</file>

<file path=customXml/itemProps2.xml><?xml version="1.0" encoding="utf-8"?>
<ds:datastoreItem xmlns:ds="http://schemas.openxmlformats.org/officeDocument/2006/customXml" ds:itemID="{4CE4C997-AFE9-4FD5-8B67-4DD00902483D}">
  <ds:schemaRefs>
    <ds:schemaRef ds:uri="http://schemas.microsoft.com/office/2006/documentManagement/types"/>
    <ds:schemaRef ds:uri="ce21bc6c-711a-4065-a01c-a8f0e29e3ad8"/>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3679bf0f-1d7e-438f-afa5-6ebf1e20f9b8"/>
    <ds:schemaRef ds:uri="http://purl.org/dc/terms/"/>
  </ds:schemaRefs>
</ds:datastoreItem>
</file>

<file path=customXml/itemProps3.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4.xml><?xml version="1.0" encoding="utf-8"?>
<ds:datastoreItem xmlns:ds="http://schemas.openxmlformats.org/officeDocument/2006/customXml" ds:itemID="{BC59668A-4A6F-4DC9-8818-A3C57A64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EC-76-dxx-Template_es</Template>
  <TotalTime>230</TotalTime>
  <Pages>4</Pages>
  <Words>1977</Words>
  <Characters>10875</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12827</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Usuario</dc:creator>
  <cp:lastModifiedBy>Fabian Rubiolo</cp:lastModifiedBy>
  <cp:revision>23</cp:revision>
  <cp:lastPrinted>2013-03-12T09:27:00Z</cp:lastPrinted>
  <dcterms:created xsi:type="dcterms:W3CDTF">2023-01-10T11:24:00Z</dcterms:created>
  <dcterms:modified xsi:type="dcterms:W3CDTF">2023-01-18T13:28:00Z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